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1D9" w:rsidRDefault="008326B3">
      <w:pPr>
        <w:spacing w:before="300" w:after="300" w:line="240" w:lineRule="auto"/>
        <w:jc w:val="right"/>
        <w:rPr>
          <w:rFonts w:ascii="Arial" w:eastAsia="Arial" w:hAnsi="Arial" w:cs="Arial"/>
          <w:sz w:val="24"/>
          <w:szCs w:val="24"/>
        </w:rPr>
      </w:pPr>
      <w:r>
        <w:rPr>
          <w:rFonts w:ascii="Arial" w:eastAsia="Arial" w:hAnsi="Arial" w:cs="Arial"/>
          <w:sz w:val="24"/>
          <w:szCs w:val="24"/>
        </w:rPr>
        <w:t>Mérida, Yucatán, a 19 de octubre de 2022.</w:t>
      </w:r>
    </w:p>
    <w:p w:rsidR="00E011D9" w:rsidRDefault="008326B3">
      <w:pPr>
        <w:spacing w:before="300" w:after="300" w:line="240" w:lineRule="auto"/>
        <w:jc w:val="both"/>
        <w:rPr>
          <w:rFonts w:ascii="Arial" w:eastAsia="Arial" w:hAnsi="Arial" w:cs="Arial"/>
          <w:b/>
          <w:sz w:val="24"/>
          <w:szCs w:val="24"/>
        </w:rPr>
      </w:pPr>
      <w:r>
        <w:rPr>
          <w:rFonts w:ascii="Arial" w:eastAsia="Arial" w:hAnsi="Arial" w:cs="Arial"/>
          <w:b/>
          <w:sz w:val="24"/>
          <w:szCs w:val="24"/>
        </w:rPr>
        <w:t>H. Congreso del Estado de Yucatán:</w:t>
      </w:r>
    </w:p>
    <w:p w:rsidR="00E011D9" w:rsidRDefault="008326B3">
      <w:pPr>
        <w:spacing w:before="300" w:after="300" w:line="240" w:lineRule="auto"/>
        <w:jc w:val="both"/>
        <w:rPr>
          <w:rFonts w:ascii="Arial" w:eastAsia="Arial" w:hAnsi="Arial" w:cs="Arial"/>
          <w:b/>
          <w:sz w:val="24"/>
          <w:szCs w:val="24"/>
        </w:rPr>
      </w:pPr>
      <w:r>
        <w:rPr>
          <w:rFonts w:ascii="Arial" w:eastAsia="Arial" w:hAnsi="Arial" w:cs="Arial"/>
          <w:b/>
          <w:sz w:val="24"/>
          <w:szCs w:val="24"/>
        </w:rPr>
        <w:t>Iniciativa de Decreto por el que se autorizan montos máximos de endeudamiento a los cuales podrán acceder los municipios Tekax y Tinum del Estado de Yucatán, para contratar uno o vari</w:t>
      </w:r>
      <w:bookmarkStart w:id="0" w:name="_GoBack"/>
      <w:bookmarkEnd w:id="0"/>
      <w:r>
        <w:rPr>
          <w:rFonts w:ascii="Arial" w:eastAsia="Arial" w:hAnsi="Arial" w:cs="Arial"/>
          <w:b/>
          <w:sz w:val="24"/>
          <w:szCs w:val="24"/>
        </w:rPr>
        <w:t xml:space="preserve">os financiamientos que se destinarán a inversiones públicas productivas; </w:t>
      </w:r>
      <w:r>
        <w:rPr>
          <w:rFonts w:ascii="Arial" w:eastAsia="Arial" w:hAnsi="Arial" w:cs="Arial"/>
          <w:b/>
          <w:sz w:val="24"/>
          <w:szCs w:val="24"/>
        </w:rPr>
        <w:t>asimismo, se autoriza la afectación como fuente de pago de un porcentaje del derecho a recibir y de los ingresos que individualmente les correspondan del Fondo de Aportaciones para la Infraestructura Social Municipal y de las Demarcaciones Territoriales de</w:t>
      </w:r>
      <w:r>
        <w:rPr>
          <w:rFonts w:ascii="Arial" w:eastAsia="Arial" w:hAnsi="Arial" w:cs="Arial"/>
          <w:b/>
          <w:sz w:val="24"/>
          <w:szCs w:val="24"/>
        </w:rPr>
        <w:t>l Distrito Federal, y la celebración de los mecanismos de pago de los financiamientos que contraten</w:t>
      </w:r>
    </w:p>
    <w:p w:rsidR="00E011D9" w:rsidRDefault="008326B3">
      <w:pPr>
        <w:spacing w:before="300" w:after="300" w:line="240" w:lineRule="auto"/>
        <w:jc w:val="center"/>
        <w:rPr>
          <w:rFonts w:ascii="Arial" w:eastAsia="Arial" w:hAnsi="Arial" w:cs="Arial"/>
          <w:b/>
          <w:sz w:val="24"/>
          <w:szCs w:val="24"/>
        </w:rPr>
      </w:pPr>
      <w:r>
        <w:rPr>
          <w:rFonts w:ascii="Arial" w:eastAsia="Arial" w:hAnsi="Arial" w:cs="Arial"/>
          <w:b/>
          <w:sz w:val="24"/>
          <w:szCs w:val="24"/>
        </w:rPr>
        <w:t>Exposición de motivos</w:t>
      </w:r>
    </w:p>
    <w:p w:rsidR="00E011D9" w:rsidRDefault="008326B3">
      <w:pPr>
        <w:spacing w:before="300" w:after="300" w:line="240" w:lineRule="auto"/>
        <w:jc w:val="both"/>
        <w:rPr>
          <w:rFonts w:ascii="Arial" w:eastAsia="Arial" w:hAnsi="Arial" w:cs="Arial"/>
          <w:sz w:val="24"/>
          <w:szCs w:val="24"/>
        </w:rPr>
      </w:pPr>
      <w:r>
        <w:rPr>
          <w:rFonts w:ascii="Arial" w:eastAsia="Arial" w:hAnsi="Arial" w:cs="Arial"/>
          <w:sz w:val="24"/>
          <w:szCs w:val="24"/>
        </w:rPr>
        <w:t>El artículo 115, fracción III, de la Constitución Política de los Estados Unidos Mexicanos, contempla que los municipios prestarán ser</w:t>
      </w:r>
      <w:r>
        <w:rPr>
          <w:rFonts w:ascii="Arial" w:eastAsia="Arial" w:hAnsi="Arial" w:cs="Arial"/>
          <w:sz w:val="24"/>
          <w:szCs w:val="24"/>
        </w:rPr>
        <w:t>vicios públicos, tales como el agua potable, el alumbrado público, la seguridad pública, entre otros, razón por la que se afirma que la Administración Pública municipal es la instancia de gobierno con mayor proximidad a la población; empero, sabemos que la</w:t>
      </w:r>
      <w:r>
        <w:rPr>
          <w:rFonts w:ascii="Arial" w:eastAsia="Arial" w:hAnsi="Arial" w:cs="Arial"/>
          <w:sz w:val="24"/>
          <w:szCs w:val="24"/>
        </w:rPr>
        <w:t xml:space="preserve"> carencia de recursos en la mayoría de las ocasiones limita la distribución de servicios públicos que ayuden a elevar la calidad de vida, es decir, en la medida en que aumentan las condiciones materiales, se incrementa también el desarrollo y crecimiento.</w:t>
      </w:r>
    </w:p>
    <w:p w:rsidR="00E011D9" w:rsidRDefault="008326B3">
      <w:pPr>
        <w:spacing w:before="300" w:after="300" w:line="240" w:lineRule="auto"/>
        <w:jc w:val="both"/>
        <w:rPr>
          <w:rFonts w:ascii="Arial" w:eastAsia="Arial" w:hAnsi="Arial" w:cs="Arial"/>
          <w:sz w:val="24"/>
          <w:szCs w:val="24"/>
        </w:rPr>
      </w:pPr>
      <w:r>
        <w:rPr>
          <w:rFonts w:ascii="Arial" w:eastAsia="Arial" w:hAnsi="Arial" w:cs="Arial"/>
          <w:sz w:val="24"/>
          <w:szCs w:val="24"/>
        </w:rPr>
        <w:t>En línea con lo anterior, el artículo 117, fracción VIII, de la Constitución Política de los Estados Unidos Mexicanos faculta a los estados y municipios a contratar obligaciones o empréstitos cuando se destinen a inversiones públicas productivas y a su ref</w:t>
      </w:r>
      <w:r>
        <w:rPr>
          <w:rFonts w:ascii="Arial" w:eastAsia="Arial" w:hAnsi="Arial" w:cs="Arial"/>
          <w:sz w:val="24"/>
          <w:szCs w:val="24"/>
        </w:rPr>
        <w:t>inanciamiento o reestructura, bajo las mejores condiciones del mercado, conforme a las bases que establezcan las legislaturas locales, por los conceptos y hasta por los montos que aprueben. Partiendo de lo anterior, las legislaturas locales, por el voto de</w:t>
      </w:r>
      <w:r>
        <w:rPr>
          <w:rFonts w:ascii="Arial" w:eastAsia="Arial" w:hAnsi="Arial" w:cs="Arial"/>
          <w:sz w:val="24"/>
          <w:szCs w:val="24"/>
        </w:rPr>
        <w:t xml:space="preserve"> las dos terceras partes de sus miembros presentes, deberán autorizar los montos máximos para la contratación de dichos empréstitos, previo análisis de su destino, capacidad de pago y, en su caso, el otorgamiento de garantías o el establecimiento de la fue</w:t>
      </w:r>
      <w:r>
        <w:rPr>
          <w:rFonts w:ascii="Arial" w:eastAsia="Arial" w:hAnsi="Arial" w:cs="Arial"/>
          <w:sz w:val="24"/>
          <w:szCs w:val="24"/>
        </w:rPr>
        <w:t>nte de pago.</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Ahora bien, con el propósito de acelerar y mejorar las condiciones municipales en materia de desarrollo social, en el 2007 se reformó la Ley de Coordinación Fiscal con el objeto de establecer nuevas reglas para el ejercicio de las aportaciones</w:t>
      </w:r>
      <w:r>
        <w:rPr>
          <w:rFonts w:ascii="Arial" w:eastAsia="Arial" w:hAnsi="Arial" w:cs="Arial"/>
          <w:color w:val="000000"/>
          <w:sz w:val="24"/>
          <w:szCs w:val="24"/>
        </w:rPr>
        <w:t xml:space="preserve"> </w:t>
      </w:r>
      <w:r>
        <w:rPr>
          <w:rFonts w:ascii="Arial" w:eastAsia="Arial" w:hAnsi="Arial" w:cs="Arial"/>
          <w:color w:val="000000"/>
          <w:sz w:val="24"/>
          <w:szCs w:val="24"/>
        </w:rPr>
        <w:lastRenderedPageBreak/>
        <w:t>federales, así como del Fondo de Aportaciones para la Infraestructura Social (en adelante FAIS), a partir de dicha reforma se permite la afectación de hasta el 25% de dicho fondo como fuente de pago de los financiamientos a cargo de las entidades federati</w:t>
      </w:r>
      <w:r>
        <w:rPr>
          <w:rFonts w:ascii="Arial" w:eastAsia="Arial" w:hAnsi="Arial" w:cs="Arial"/>
          <w:color w:val="000000"/>
          <w:sz w:val="24"/>
          <w:szCs w:val="24"/>
        </w:rPr>
        <w:t>vas, de los municipios y de las demarcaciones territoriales del Distrito Federal (hoy Ciudad de México), dichos recursos deben ser destinados a los fines autorizados en el artículo 33 de la citada ley.</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Asimismo, en el artículo 50 de la ley en comento se es</w:t>
      </w:r>
      <w:r>
        <w:rPr>
          <w:rFonts w:ascii="Arial" w:eastAsia="Arial" w:hAnsi="Arial" w:cs="Arial"/>
          <w:color w:val="000000"/>
          <w:sz w:val="24"/>
          <w:szCs w:val="24"/>
        </w:rPr>
        <w:t>tablece la opción para que, en el caso de existir obligaciones pagaderas en dos o más ejercicios fiscales, cada año podrá destinarse a su servicio, lo que resulte mayor entre aplicar el porcentaje referido a los recursos correspondientes al año de que se t</w:t>
      </w:r>
      <w:r>
        <w:rPr>
          <w:rFonts w:ascii="Arial" w:eastAsia="Arial" w:hAnsi="Arial" w:cs="Arial"/>
          <w:color w:val="000000"/>
          <w:sz w:val="24"/>
          <w:szCs w:val="24"/>
        </w:rPr>
        <w:t>rate o a los recursos correspondientes al año en que las obligaciones hayan sido contratadas.</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En línea con lo anterior, la reforma constitucional publicada en el Diario Oficial de la Federación el 26 de mayo de 2015, en materia de disciplina financiera, in</w:t>
      </w:r>
      <w:r>
        <w:rPr>
          <w:rFonts w:ascii="Arial" w:eastAsia="Arial" w:hAnsi="Arial" w:cs="Arial"/>
          <w:color w:val="000000"/>
          <w:sz w:val="24"/>
          <w:szCs w:val="24"/>
        </w:rPr>
        <w:t>trodujo un marco legal innovador al establecer reglas claras sobre la contratación de obligaciones o empréstitos conforme a las bases que establezcan las legislaturas correspondientes, por los conceptos y hasta por los montos máximos que aprueben, quedando</w:t>
      </w:r>
      <w:r>
        <w:rPr>
          <w:rFonts w:ascii="Arial" w:eastAsia="Arial" w:hAnsi="Arial" w:cs="Arial"/>
          <w:color w:val="000000"/>
          <w:sz w:val="24"/>
          <w:szCs w:val="24"/>
        </w:rPr>
        <w:t xml:space="preserve"> obligados los entes públicos a informar de su ejercicio al rendir la cuenta pública.</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Con base en la reforma constitucional citada en el párrafo previo, se emitió la Ley de Disciplina Financiera de las Entidades Federativas y los Municipios, la cual erige </w:t>
      </w:r>
      <w:r>
        <w:rPr>
          <w:rFonts w:ascii="Arial" w:eastAsia="Arial" w:hAnsi="Arial" w:cs="Arial"/>
          <w:color w:val="000000"/>
          <w:sz w:val="24"/>
          <w:szCs w:val="24"/>
        </w:rPr>
        <w:t>los ejes rectores principales de disciplina financiera que permiten asegurar el fortalecimiento de las finanzas públicas locales, mediante el establecimiento de reglas específicas de contratación de deuda, con el objeto de garantizar la eficiencia operativ</w:t>
      </w:r>
      <w:r>
        <w:rPr>
          <w:rFonts w:ascii="Arial" w:eastAsia="Arial" w:hAnsi="Arial" w:cs="Arial"/>
          <w:color w:val="000000"/>
          <w:sz w:val="24"/>
          <w:szCs w:val="24"/>
        </w:rPr>
        <w:t>a, lograr mejores condiciones en la contratación de financiamientos y obligaciones y salvaguardar los principios en materia de transparencia, presupuesto y responsabilidad hacendaria, bajo reglas y criterios prudenciales que aseguren una gestión equilibrad</w:t>
      </w:r>
      <w:r>
        <w:rPr>
          <w:rFonts w:ascii="Arial" w:eastAsia="Arial" w:hAnsi="Arial" w:cs="Arial"/>
          <w:color w:val="000000"/>
          <w:sz w:val="24"/>
          <w:szCs w:val="24"/>
        </w:rPr>
        <w:t>a de sus finanzas públicas.</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Conforme a lo hasta ahora comentado respecto a los diversos esquemas, mecanismos e instrumentos de financiamiento, destaca que los municipios del estado pueden afectar como fuente de pago un porcentaje del derecho a recibir y lo</w:t>
      </w:r>
      <w:r>
        <w:rPr>
          <w:rFonts w:ascii="Arial" w:eastAsia="Arial" w:hAnsi="Arial" w:cs="Arial"/>
          <w:color w:val="000000"/>
          <w:sz w:val="24"/>
          <w:szCs w:val="24"/>
        </w:rPr>
        <w:t>s ingresos que individualmente les correspondan del FAIS.</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Asimismo, el artículo 33 de la Ley de Coordinación Fiscal prevé el destino específico de los financiamientos que se contraten, cuya afectación se advierte en el artículo 50 de dicha ley, considerand</w:t>
      </w:r>
      <w:r>
        <w:rPr>
          <w:rFonts w:ascii="Arial" w:eastAsia="Arial" w:hAnsi="Arial" w:cs="Arial"/>
          <w:color w:val="000000"/>
          <w:sz w:val="24"/>
          <w:szCs w:val="24"/>
        </w:rPr>
        <w:t xml:space="preserve">o que las aportaciones que con cargo a los fondos a que se refiere el artículo 25, en sus fracciones III y VIII, de la ley referida que correspondan a las entidades federativas o municipios, podrán afectarse para </w:t>
      </w:r>
      <w:r>
        <w:rPr>
          <w:rFonts w:ascii="Arial" w:eastAsia="Arial" w:hAnsi="Arial" w:cs="Arial"/>
          <w:color w:val="000000"/>
          <w:sz w:val="24"/>
          <w:szCs w:val="24"/>
        </w:rPr>
        <w:lastRenderedPageBreak/>
        <w:t>garantizar obligaciones en caso de incumpli</w:t>
      </w:r>
      <w:r>
        <w:rPr>
          <w:rFonts w:ascii="Arial" w:eastAsia="Arial" w:hAnsi="Arial" w:cs="Arial"/>
          <w:color w:val="000000"/>
          <w:sz w:val="24"/>
          <w:szCs w:val="24"/>
        </w:rPr>
        <w:t>miento o servir como fuente de pago de dichas obligaciones que contraigan con la federación, las instituciones de crédito que operen en territorio nacional o con personas físicas o morales de nacionalidad mexicana, siempre que cuenten con autorización de l</w:t>
      </w:r>
      <w:r>
        <w:rPr>
          <w:rFonts w:ascii="Arial" w:eastAsia="Arial" w:hAnsi="Arial" w:cs="Arial"/>
          <w:color w:val="000000"/>
          <w:sz w:val="24"/>
          <w:szCs w:val="24"/>
        </w:rPr>
        <w:t xml:space="preserve">as legislaturas locales y se inscriban a petición de las entidades federativas o los municipios, según corresponda, ante la Secretaría de Hacienda y Crédito Público, en el Registro Público Único de Financiamientos y Obligaciones de Entidades Federativas y </w:t>
      </w:r>
      <w:r>
        <w:rPr>
          <w:rFonts w:ascii="Arial" w:eastAsia="Arial" w:hAnsi="Arial" w:cs="Arial"/>
          <w:color w:val="000000"/>
          <w:sz w:val="24"/>
          <w:szCs w:val="24"/>
        </w:rPr>
        <w:t>Municipios.</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Las entidades federativas y los municipios que contraigan obligaciones al amparo del artículo 50 de la Ley de Coordinación Fiscal, no podrán destinar más del 25% de los recursos que anualmente les correspondan por concepto de los fondos a que s</w:t>
      </w:r>
      <w:r>
        <w:rPr>
          <w:rFonts w:ascii="Arial" w:eastAsia="Arial" w:hAnsi="Arial" w:cs="Arial"/>
          <w:color w:val="000000"/>
          <w:sz w:val="24"/>
          <w:szCs w:val="24"/>
        </w:rPr>
        <w:t>e refiere el párrafo anterior, para servir dichas obligaciones.</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Tratándose de obligaciones pagaderas en dos o más ejercicios fiscales, para cada año podrá destinarse a su servicio lo que resulte mayor entre aplicar el porcentaje a que se refiere el párrafo</w:t>
      </w:r>
      <w:r>
        <w:rPr>
          <w:rFonts w:ascii="Arial" w:eastAsia="Arial" w:hAnsi="Arial" w:cs="Arial"/>
          <w:color w:val="000000"/>
          <w:sz w:val="24"/>
          <w:szCs w:val="24"/>
        </w:rPr>
        <w:t xml:space="preserve"> anterior a los recursos correspondientes al año de que se trate o a los recursos correspondientes al año en que las obligaciones hayan sido contratadas.</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De igual manera, la Constitución Política de los Estados Unidos Mexicanos, la Constitución Política de</w:t>
      </w:r>
      <w:r>
        <w:rPr>
          <w:rFonts w:ascii="Arial" w:eastAsia="Arial" w:hAnsi="Arial" w:cs="Arial"/>
          <w:color w:val="000000"/>
          <w:sz w:val="24"/>
          <w:szCs w:val="24"/>
        </w:rPr>
        <w:t>l Estado Libre y Soberano de Yucatán y la Ley de Deuda Pública del Estado de Yucatán, facultan al Congreso del estado a autorizar la afectación, como fuente de pago o garantía, de los derechos o flujos derivados de ingresos locales, del derecho o los ingre</w:t>
      </w:r>
      <w:r>
        <w:rPr>
          <w:rFonts w:ascii="Arial" w:eastAsia="Arial" w:hAnsi="Arial" w:cs="Arial"/>
          <w:color w:val="000000"/>
          <w:sz w:val="24"/>
          <w:szCs w:val="24"/>
        </w:rPr>
        <w:t>sos derivados de las aportaciones federales susceptibles de afectación, del derecho o los ingresos derivados de las participaciones federales o de cualquier otro derecho e ingreso susceptible de afectación que le corresponda respecto a obligaciones que cel</w:t>
      </w:r>
      <w:r>
        <w:rPr>
          <w:rFonts w:ascii="Arial" w:eastAsia="Arial" w:hAnsi="Arial" w:cs="Arial"/>
          <w:color w:val="000000"/>
          <w:sz w:val="24"/>
          <w:szCs w:val="24"/>
        </w:rPr>
        <w:t>ebren los entes públicos dentro de sus respectivos ámbitos de competencia, incluyendo la aprobación de los mecanismos legales para la instrumentación de la afectación correspondiente.</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todo momento, la autorización de dichos financiamientos se realizará </w:t>
      </w:r>
      <w:r>
        <w:rPr>
          <w:rFonts w:ascii="Arial" w:eastAsia="Arial" w:hAnsi="Arial" w:cs="Arial"/>
          <w:color w:val="000000"/>
          <w:sz w:val="24"/>
          <w:szCs w:val="24"/>
        </w:rPr>
        <w:t>previo análisis de la capacidad de pago, del destino del financiamiento y del otorgamiento de recursos como fuente o garantía de pago, que podrá realizarse a través de las leyes de ingresos, o bien, mediante autorizaciones específicas, que no podrán excede</w:t>
      </w:r>
      <w:r>
        <w:rPr>
          <w:rFonts w:ascii="Arial" w:eastAsia="Arial" w:hAnsi="Arial" w:cs="Arial"/>
          <w:color w:val="000000"/>
          <w:sz w:val="24"/>
          <w:szCs w:val="24"/>
        </w:rPr>
        <w:t>r el ejercicio fiscal siguiente.</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A su vez, la Ley de Disciplina Financiera de las Entidades Federativas y los Municipios establece, en sus artículos primero y segundo fracción VIII, que la responsabilidad hacendaria y financiera se sujetarán a los principi</w:t>
      </w:r>
      <w:r>
        <w:rPr>
          <w:rFonts w:ascii="Arial" w:eastAsia="Arial" w:hAnsi="Arial" w:cs="Arial"/>
          <w:color w:val="000000"/>
          <w:sz w:val="24"/>
          <w:szCs w:val="24"/>
        </w:rPr>
        <w:t xml:space="preserve">os de legalidad, </w:t>
      </w:r>
      <w:r>
        <w:rPr>
          <w:rFonts w:ascii="Arial" w:eastAsia="Arial" w:hAnsi="Arial" w:cs="Arial"/>
          <w:color w:val="000000"/>
          <w:sz w:val="24"/>
          <w:szCs w:val="24"/>
        </w:rPr>
        <w:lastRenderedPageBreak/>
        <w:t>honestidad, eficacia, eficiencia, economía, racionalidad, austeridad, transparencia, control y rendición de cuentas por lo que en todo momento se observarán estos principios para asegurar una gestión responsable y sostenible de las finanza</w:t>
      </w:r>
      <w:r>
        <w:rPr>
          <w:rFonts w:ascii="Arial" w:eastAsia="Arial" w:hAnsi="Arial" w:cs="Arial"/>
          <w:color w:val="000000"/>
          <w:sz w:val="24"/>
          <w:szCs w:val="24"/>
        </w:rPr>
        <w:t>s públicas, generando condiciones favorables para el crecimiento económico y el empleo.</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En razón de lo descrito en el párrafo anterior, las administraciones municipales deben sujetarse en todo momento al cumplimiento de dichos mandatos, dando claridad a lo</w:t>
      </w:r>
      <w:r>
        <w:rPr>
          <w:rFonts w:ascii="Arial" w:eastAsia="Arial" w:hAnsi="Arial" w:cs="Arial"/>
          <w:color w:val="000000"/>
          <w:sz w:val="24"/>
          <w:szCs w:val="24"/>
        </w:rPr>
        <w:t>s procesos de control interno, transferencia y destino de los recursos, relacionado con la inversión pública, con el fin de transparentar que el ejercicio de dichos recursos se haga con estricto apego a los principios de certeza, legalidad, eficacia, máxim</w:t>
      </w:r>
      <w:r>
        <w:rPr>
          <w:rFonts w:ascii="Arial" w:eastAsia="Arial" w:hAnsi="Arial" w:cs="Arial"/>
          <w:color w:val="000000"/>
          <w:sz w:val="24"/>
          <w:szCs w:val="24"/>
        </w:rPr>
        <w:t>a publicidad, pero, sobre todo y más importante, al principio de transparencia, conforme a lo previsto por el artículo 107 de la Constitución Política del Estado Libre y Soberano de Yucatán.</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Por otra parte, de acuerdo con el Consejo Nacional de Evaluación </w:t>
      </w:r>
      <w:r>
        <w:rPr>
          <w:rFonts w:ascii="Arial" w:eastAsia="Arial" w:hAnsi="Arial" w:cs="Arial"/>
          <w:color w:val="000000"/>
          <w:sz w:val="24"/>
          <w:szCs w:val="24"/>
        </w:rPr>
        <w:t>de la Política de Desarrollo Social, a 2020 el 75% de la población de Tekax se encontraba en situación de pobreza, al igual que el el 85% de la de Tinum.</w:t>
      </w:r>
      <w:r>
        <w:rPr>
          <w:rFonts w:ascii="Arial" w:eastAsia="Arial" w:hAnsi="Arial" w:cs="Arial"/>
          <w:color w:val="000000"/>
          <w:sz w:val="24"/>
          <w:szCs w:val="24"/>
          <w:vertAlign w:val="superscript"/>
        </w:rPr>
        <w:footnoteReference w:id="1"/>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este sentido, con la finalidad de combatir el porcentaje de pobreza que presentan los municipios de Tekax y Tinum, conforme a las disposiciones citadas, los municipios deberán destinar los recursos que obtengan con el financiamiento que individualmente </w:t>
      </w:r>
      <w:r>
        <w:rPr>
          <w:rFonts w:ascii="Arial" w:eastAsia="Arial" w:hAnsi="Arial" w:cs="Arial"/>
          <w:color w:val="000000"/>
          <w:sz w:val="24"/>
          <w:szCs w:val="24"/>
        </w:rPr>
        <w:t>contraten al amparo de la autorización que se somete a consideración, única y exclusivamente para financiar obras, acciones sociales básicas o inversiones que beneficien directamente a la población en pobreza extrema, así como en las localidades con alto o</w:t>
      </w:r>
      <w:r>
        <w:rPr>
          <w:rFonts w:ascii="Arial" w:eastAsia="Arial" w:hAnsi="Arial" w:cs="Arial"/>
          <w:color w:val="000000"/>
          <w:sz w:val="24"/>
          <w:szCs w:val="24"/>
        </w:rPr>
        <w:t xml:space="preserve"> muy alto nivel de rezago social, en los rubros de agua potable, alcantarillado, drenaje, urbanización, electrificación rural y de colonias pobres e infraestructura básica del sector salud y educativo.</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Tomando en consideración lo anterior, el Acuerdo 40/2022 por el que se da a conocer la fórmula, metodología y justificación de cada elemento, monto y calendario de ministraciones relativos a la distribución de los recursos del Fondo de Aportaciones para la</w:t>
      </w:r>
      <w:r>
        <w:rPr>
          <w:rFonts w:ascii="Arial" w:eastAsia="Arial" w:hAnsi="Arial" w:cs="Arial"/>
          <w:color w:val="000000"/>
          <w:sz w:val="24"/>
          <w:szCs w:val="24"/>
        </w:rPr>
        <w:t xml:space="preserve"> Infraestructura Social Municipal y de las Demarcaciones Territoriales del Distrito Federal y el monto y calendario de ministraciones del Fondo de Aportaciones para el Fortalecimiento de los Municipios y de las Demarcaciones Territoriales del Distrito Fede</w:t>
      </w:r>
      <w:r>
        <w:rPr>
          <w:rFonts w:ascii="Arial" w:eastAsia="Arial" w:hAnsi="Arial" w:cs="Arial"/>
          <w:color w:val="000000"/>
          <w:sz w:val="24"/>
          <w:szCs w:val="24"/>
        </w:rPr>
        <w:t xml:space="preserve">ral, entre los ayuntamientos del estado de Yucatán </w:t>
      </w:r>
      <w:r>
        <w:rPr>
          <w:rFonts w:ascii="Arial" w:eastAsia="Arial" w:hAnsi="Arial" w:cs="Arial"/>
          <w:color w:val="000000"/>
          <w:sz w:val="24"/>
          <w:szCs w:val="24"/>
        </w:rPr>
        <w:lastRenderedPageBreak/>
        <w:t>para el ejercicio fiscal 2022</w:t>
      </w:r>
      <w:r>
        <w:rPr>
          <w:rFonts w:ascii="Arial" w:eastAsia="Arial" w:hAnsi="Arial" w:cs="Arial"/>
          <w:color w:val="000000"/>
          <w:sz w:val="24"/>
          <w:szCs w:val="24"/>
          <w:vertAlign w:val="superscript"/>
        </w:rPr>
        <w:footnoteReference w:id="2"/>
      </w:r>
      <w:r>
        <w:rPr>
          <w:rFonts w:ascii="Arial" w:eastAsia="Arial" w:hAnsi="Arial" w:cs="Arial"/>
          <w:color w:val="000000"/>
          <w:sz w:val="24"/>
          <w:szCs w:val="24"/>
        </w:rPr>
        <w:t>, publicado en el Diario Oficial del Gobierno del Estado de Yucatán, el lunes 31 de enero de 2022, advierte los montos y calendario de las ministraciones del FAIS entre los ay</w:t>
      </w:r>
      <w:r>
        <w:rPr>
          <w:rFonts w:ascii="Arial" w:eastAsia="Arial" w:hAnsi="Arial" w:cs="Arial"/>
          <w:color w:val="000000"/>
          <w:sz w:val="24"/>
          <w:szCs w:val="24"/>
        </w:rPr>
        <w:t xml:space="preserve">untamientos del estado de Yucatán para el ejercicio fiscal 2022, previo acuerdo con la Secretaría de Bienestar, correspondientes a sus municipios, que enfatice el carácter redistributivo de estas aportaciones hacia aquellos municipios con mayor magnitud y </w:t>
      </w:r>
      <w:r>
        <w:rPr>
          <w:rFonts w:ascii="Arial" w:eastAsia="Arial" w:hAnsi="Arial" w:cs="Arial"/>
          <w:color w:val="000000"/>
          <w:sz w:val="24"/>
          <w:szCs w:val="24"/>
        </w:rPr>
        <w:t>profundidad de pobreza extrema.</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Con base en dichos montos, se estima un importe máximo de adelanto de aportaciones provenientes del FAIS mediante el esquema de contratación de financiamiento, conforme a la presente iniciativa de decreto por la que se somet</w:t>
      </w:r>
      <w:r>
        <w:rPr>
          <w:rFonts w:ascii="Arial" w:eastAsia="Arial" w:hAnsi="Arial" w:cs="Arial"/>
          <w:color w:val="000000"/>
          <w:sz w:val="24"/>
          <w:szCs w:val="24"/>
        </w:rPr>
        <w:t>e a consideración de este Congreso autorizar montos máximos para la contratación de financiamiento, que permita contar con recursos adicionales que beneficien a la población de los municipios citados, los cuales presentan altos porcentajes de pobreza.</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En e</w:t>
      </w:r>
      <w:r>
        <w:rPr>
          <w:rFonts w:ascii="Arial" w:eastAsia="Arial" w:hAnsi="Arial" w:cs="Arial"/>
          <w:color w:val="000000"/>
          <w:sz w:val="24"/>
          <w:szCs w:val="24"/>
        </w:rPr>
        <w:t>se sentido, como ha quedado señalado en esta exposición de motivos, se tiene de manifiesto la capacidad de pago de los municipios de Tekax y Tinum, en virtud de que es la Secretaría de Administración y Finanzas quien calcula el monto que corresponde a cada</w:t>
      </w:r>
      <w:r>
        <w:rPr>
          <w:rFonts w:ascii="Arial" w:eastAsia="Arial" w:hAnsi="Arial" w:cs="Arial"/>
          <w:color w:val="000000"/>
          <w:sz w:val="24"/>
          <w:szCs w:val="24"/>
        </w:rPr>
        <w:t xml:space="preserve"> municipio del estado por concepto de aportaciones del FAIS del ejercicio fiscal de que se trate, conforme a la fórmula y metodología correspondiente, es además quien les canaliza las aportaciones de los recursos del FAIS, por lo que es a partir de los mon</w:t>
      </w:r>
      <w:r>
        <w:rPr>
          <w:rFonts w:ascii="Arial" w:eastAsia="Arial" w:hAnsi="Arial" w:cs="Arial"/>
          <w:color w:val="000000"/>
          <w:sz w:val="24"/>
          <w:szCs w:val="24"/>
        </w:rPr>
        <w:t>tos publicados en el Acuerdo 40/2022 referido que se determina el monto máximo de contratación de financiamiento que se autoriza a cada municipio en particular, atendiendo a que está directamente relacionado con su capacidad de pago, la cual, en el caso, n</w:t>
      </w:r>
      <w:r>
        <w:rPr>
          <w:rFonts w:ascii="Arial" w:eastAsia="Arial" w:hAnsi="Arial" w:cs="Arial"/>
          <w:color w:val="000000"/>
          <w:sz w:val="24"/>
          <w:szCs w:val="24"/>
        </w:rPr>
        <w:t>o excederá del 25% de los recursos que le corresponde a cada municipio del Fondo de Aportaciones para la Infraestructura Social en virtud de que este será la fuente de pago de los financiamientos, considerando lo previsto en el artículo 50 de la Ley de Coo</w:t>
      </w:r>
      <w:r>
        <w:rPr>
          <w:rFonts w:ascii="Arial" w:eastAsia="Arial" w:hAnsi="Arial" w:cs="Arial"/>
          <w:color w:val="000000"/>
          <w:sz w:val="24"/>
          <w:szCs w:val="24"/>
        </w:rPr>
        <w:t>rdinación Fiscal.</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Aunado a lo anterior, con fundamento en la fracción II del artículo 82 de la Constitución Política del Estado Libre y Soberano de Yucatán, así como en la fracción XI del inciso C) del artículo 41 de la Ley de Gobierno de los Municipios de</w:t>
      </w:r>
      <w:r>
        <w:rPr>
          <w:rFonts w:ascii="Arial" w:eastAsia="Arial" w:hAnsi="Arial" w:cs="Arial"/>
          <w:color w:val="000000"/>
          <w:sz w:val="24"/>
          <w:szCs w:val="24"/>
        </w:rPr>
        <w:t>l Estado de Yucatán, los municipios que decidan ejercer la autorización que se somete a consideración de este Congreso, deberán aprobar la correspondiente modificación a su ley de ingresos para el ejercicio fiscal 2022, a efecto de considerar el ingreso ex</w:t>
      </w:r>
      <w:r>
        <w:rPr>
          <w:rFonts w:ascii="Arial" w:eastAsia="Arial" w:hAnsi="Arial" w:cs="Arial"/>
          <w:color w:val="000000"/>
          <w:sz w:val="24"/>
          <w:szCs w:val="24"/>
        </w:rPr>
        <w:t xml:space="preserve">traordinario por financiamiento, debiendo remitir dicha iniciativa de reforma al Congreso del estado para su correspondiente aprobación. Por otro lado, </w:t>
      </w:r>
      <w:r>
        <w:rPr>
          <w:rFonts w:ascii="Arial" w:eastAsia="Arial" w:hAnsi="Arial" w:cs="Arial"/>
          <w:color w:val="000000"/>
          <w:sz w:val="24"/>
          <w:szCs w:val="24"/>
        </w:rPr>
        <w:lastRenderedPageBreak/>
        <w:t>en el supuesto que decidan hacer uso de la autorización en comento en el ejercicio fiscal 2023, los muni</w:t>
      </w:r>
      <w:r>
        <w:rPr>
          <w:rFonts w:ascii="Arial" w:eastAsia="Arial" w:hAnsi="Arial" w:cs="Arial"/>
          <w:color w:val="000000"/>
          <w:sz w:val="24"/>
          <w:szCs w:val="24"/>
        </w:rPr>
        <w:t>cipios deberán prever en su iniciativa de ley de ingresos para dicho ejercicio fiscal el monto por ingreso extraordinario que, como financiamiento, pretendan contratar o, en caso de que no se hubiese previsto, estarán facultados para aprobar y solicitar al</w:t>
      </w:r>
      <w:r>
        <w:rPr>
          <w:rFonts w:ascii="Arial" w:eastAsia="Arial" w:hAnsi="Arial" w:cs="Arial"/>
          <w:color w:val="000000"/>
          <w:sz w:val="24"/>
          <w:szCs w:val="24"/>
        </w:rPr>
        <w:t xml:space="preserve"> Congreso del estado la modificación a la ley de ingresos para el ejercicio fiscal 2023. Lo anterior, considerando en todo momento que es responsabilidad de esta H. Legislatura, aprobar las leyes de ingresos municipales para prever el monto máximo que cada</w:t>
      </w:r>
      <w:r>
        <w:rPr>
          <w:rFonts w:ascii="Arial" w:eastAsia="Arial" w:hAnsi="Arial" w:cs="Arial"/>
          <w:color w:val="000000"/>
          <w:sz w:val="24"/>
          <w:szCs w:val="24"/>
        </w:rPr>
        <w:t xml:space="preserve"> municipio de esta entidad formalice mediante la contratación del financiamiento que se describe en la presente iniciativa.</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Asimismo, se establece con toda claridad la facultad y obligación de cada uno de los municipios que concreten los financiamientos, d</w:t>
      </w:r>
      <w:r>
        <w:rPr>
          <w:rFonts w:ascii="Arial" w:eastAsia="Arial" w:hAnsi="Arial" w:cs="Arial"/>
          <w:color w:val="000000"/>
          <w:sz w:val="24"/>
          <w:szCs w:val="24"/>
        </w:rPr>
        <w:t>e presupuestar las erogaciones que contemplen mediante el servicio de la deuda pública contratada.</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Cabe mencionar que la hacienda municipal se rige por los principios de autonomía administrativa, libre ejercicio, transparencia y legalidad, y se forma, entr</w:t>
      </w:r>
      <w:r>
        <w:rPr>
          <w:rFonts w:ascii="Arial" w:eastAsia="Arial" w:hAnsi="Arial" w:cs="Arial"/>
          <w:color w:val="000000"/>
          <w:sz w:val="24"/>
          <w:szCs w:val="24"/>
        </w:rPr>
        <w:t>e otros, por los recursos provenientes de los financiamientos, considerados como extraordinarios, siempre que los autorice el Congreso del estado y su presupuesto de egresos sea aprobado y adecuado por el Cabildo conforme a las partidas presupuestales apro</w:t>
      </w:r>
      <w:r>
        <w:rPr>
          <w:rFonts w:ascii="Arial" w:eastAsia="Arial" w:hAnsi="Arial" w:cs="Arial"/>
          <w:color w:val="000000"/>
          <w:sz w:val="24"/>
          <w:szCs w:val="24"/>
        </w:rPr>
        <w:t>badas por el Congreso del estado en sus respectivas leyes de ingresos, según lo advierten la fracción VI del artículo 30 y las fracciones II y III del artículo 82 de la Constitución Política del Estado Libre y Soberano de Yucatán, así como las fracciones I</w:t>
      </w:r>
      <w:r>
        <w:rPr>
          <w:rFonts w:ascii="Arial" w:eastAsia="Arial" w:hAnsi="Arial" w:cs="Arial"/>
          <w:color w:val="000000"/>
          <w:sz w:val="24"/>
          <w:szCs w:val="24"/>
        </w:rPr>
        <w:t>I y XI del inciso C) del artículo 41, la fracción V del artículo 140, el inciso b) de la fracción II del artículo 142 y el artículo 145, todos de la Ley de Gobierno de los Municipios del Estado de Yucatán.</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En línea con lo expuesto, tratándose de financiami</w:t>
      </w:r>
      <w:r>
        <w:rPr>
          <w:rFonts w:ascii="Arial" w:eastAsia="Arial" w:hAnsi="Arial" w:cs="Arial"/>
          <w:color w:val="000000"/>
          <w:sz w:val="24"/>
          <w:szCs w:val="24"/>
        </w:rPr>
        <w:t>entos a largo plazo, es decir, mayores a un año, su contratación debe ser aprobada por mayoría calificada de los integrantes del Cabildo del H. Ayuntamiento conforme a lo dispuesto en el artículo 13 de la Ley de Deuda Pública del Estado de Yucatán, premisa</w:t>
      </w:r>
      <w:r>
        <w:rPr>
          <w:rFonts w:ascii="Arial" w:eastAsia="Arial" w:hAnsi="Arial" w:cs="Arial"/>
          <w:color w:val="000000"/>
          <w:sz w:val="24"/>
          <w:szCs w:val="24"/>
        </w:rPr>
        <w:t xml:space="preserve"> que deberá quedar cumplida por cada uno de los municipios que pretendan contratar el financiamiento que esta Legislatura autoriza en la presente iniciativa de Decreto, como requisito </w:t>
      </w:r>
      <w:r>
        <w:rPr>
          <w:rFonts w:ascii="Arial" w:eastAsia="Arial" w:hAnsi="Arial" w:cs="Arial"/>
          <w:i/>
          <w:color w:val="000000"/>
          <w:sz w:val="24"/>
          <w:szCs w:val="24"/>
        </w:rPr>
        <w:t xml:space="preserve">sine qua non </w:t>
      </w:r>
      <w:r>
        <w:rPr>
          <w:rFonts w:ascii="Arial" w:eastAsia="Arial" w:hAnsi="Arial" w:cs="Arial"/>
          <w:color w:val="000000"/>
          <w:sz w:val="24"/>
          <w:szCs w:val="24"/>
        </w:rPr>
        <w:t>para la concertación del financiamiento de que se trate, si</w:t>
      </w:r>
      <w:r>
        <w:rPr>
          <w:rFonts w:ascii="Arial" w:eastAsia="Arial" w:hAnsi="Arial" w:cs="Arial"/>
          <w:color w:val="000000"/>
          <w:sz w:val="24"/>
          <w:szCs w:val="24"/>
        </w:rPr>
        <w:t>n que dicho financiamiento exceda de la administración municipal que lo contrate; en otras palabras, los financiamientos deberán quedar liquidados a más tardar el 1 de agosto de 2024.</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Por lo hasta ahora expuesto, con el actual decreto se pretende que los m</w:t>
      </w:r>
      <w:r>
        <w:rPr>
          <w:rFonts w:ascii="Arial" w:eastAsia="Arial" w:hAnsi="Arial" w:cs="Arial"/>
          <w:color w:val="000000"/>
          <w:sz w:val="24"/>
          <w:szCs w:val="24"/>
        </w:rPr>
        <w:t xml:space="preserve">unicipios de Tekax y Tinum tengan la posibilidad de contar, en forma oportuna y accesible, con recursos financieros que les permitan realizar las obras señaladas en la Ley de Coordinación Fiscal, para lo cual, previo análisis del destino de los recursos </w:t>
      </w:r>
      <w:r>
        <w:rPr>
          <w:rFonts w:ascii="Arial" w:eastAsia="Arial" w:hAnsi="Arial" w:cs="Arial"/>
          <w:color w:val="000000"/>
          <w:sz w:val="24"/>
          <w:szCs w:val="24"/>
        </w:rPr>
        <w:lastRenderedPageBreak/>
        <w:t>so</w:t>
      </w:r>
      <w:r>
        <w:rPr>
          <w:rFonts w:ascii="Arial" w:eastAsia="Arial" w:hAnsi="Arial" w:cs="Arial"/>
          <w:color w:val="000000"/>
          <w:sz w:val="24"/>
          <w:szCs w:val="24"/>
        </w:rPr>
        <w:t xml:space="preserve">licitados al amparo de este decreto, de la capacidad de pago, de la situación de la deuda pública de los municipios de Tekax y Tinum y de los recursos a otorgarse como fuente de pago y garantía, de considerarse procedente, este decreto deberá ser aprobado </w:t>
      </w:r>
      <w:r>
        <w:rPr>
          <w:rFonts w:ascii="Arial" w:eastAsia="Arial" w:hAnsi="Arial" w:cs="Arial"/>
          <w:color w:val="000000"/>
          <w:sz w:val="24"/>
          <w:szCs w:val="24"/>
        </w:rPr>
        <w:t>por el voto de al menos dos terceras partes de las diputadas y los diputados presentes en la sesión respectiva del Congreso, de conformidad con el artículo 117, fracción VIII, de la Constitución Política de los Estados Unidos Mexicanos.</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Ahora bien, llegado</w:t>
      </w:r>
      <w:r>
        <w:rPr>
          <w:rFonts w:ascii="Arial" w:eastAsia="Arial" w:hAnsi="Arial" w:cs="Arial"/>
          <w:color w:val="000000"/>
          <w:sz w:val="24"/>
          <w:szCs w:val="24"/>
        </w:rPr>
        <w:t xml:space="preserve">s a este punto es necesario destacar que esta autorización se pide específicamente para los municipios de Tekax y Tinum, derivado de que estos, mediante sendas sesiones de sus cabildos, autorizaron la presentación de esta solicitud, por lo que se adjuntan </w:t>
      </w:r>
      <w:r>
        <w:rPr>
          <w:rFonts w:ascii="Arial" w:eastAsia="Arial" w:hAnsi="Arial" w:cs="Arial"/>
          <w:color w:val="000000"/>
          <w:sz w:val="24"/>
          <w:szCs w:val="24"/>
        </w:rPr>
        <w:t>las actas y los estados financieros auditados respectivos.</w:t>
      </w:r>
    </w:p>
    <w:p w:rsidR="00E011D9" w:rsidRDefault="008326B3">
      <w:pPr>
        <w:pBdr>
          <w:top w:val="nil"/>
          <w:left w:val="nil"/>
          <w:bottom w:val="nil"/>
          <w:right w:val="nil"/>
          <w:between w:val="nil"/>
        </w:pBdr>
        <w:spacing w:before="300" w:after="300" w:line="240" w:lineRule="auto"/>
        <w:rPr>
          <w:rFonts w:ascii="Arial" w:eastAsia="Arial" w:hAnsi="Arial" w:cs="Arial"/>
          <w:b/>
          <w:i/>
          <w:color w:val="000000"/>
          <w:sz w:val="24"/>
          <w:szCs w:val="24"/>
        </w:rPr>
      </w:pPr>
      <w:r>
        <w:rPr>
          <w:rFonts w:ascii="Arial" w:eastAsia="Arial" w:hAnsi="Arial" w:cs="Arial"/>
          <w:b/>
          <w:i/>
          <w:color w:val="000000"/>
          <w:sz w:val="24"/>
          <w:szCs w:val="24"/>
        </w:rPr>
        <w:t>Descripción formal de la iniciativa</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El proyecto de decreto que se somete a consideración del Congreso del estado está conformado por catorce artículos, a través de los cuales, además de la autoriza</w:t>
      </w:r>
      <w:r>
        <w:rPr>
          <w:rFonts w:ascii="Arial" w:eastAsia="Arial" w:hAnsi="Arial" w:cs="Arial"/>
          <w:color w:val="000000"/>
          <w:sz w:val="24"/>
          <w:szCs w:val="24"/>
        </w:rPr>
        <w:t>ción constitucionalmente prevista para la válida celebración de los financiamientos, se dispone:</w:t>
      </w:r>
    </w:p>
    <w:p w:rsidR="00E011D9" w:rsidRDefault="008326B3">
      <w:pPr>
        <w:numPr>
          <w:ilvl w:val="0"/>
          <w:numId w:val="1"/>
        </w:numPr>
        <w:pBdr>
          <w:top w:val="nil"/>
          <w:left w:val="nil"/>
          <w:bottom w:val="nil"/>
          <w:right w:val="nil"/>
          <w:between w:val="nil"/>
        </w:pBdr>
        <w:spacing w:before="280" w:after="0" w:line="240" w:lineRule="auto"/>
        <w:ind w:left="714" w:hanging="357"/>
        <w:jc w:val="both"/>
      </w:pPr>
      <w:r>
        <w:rPr>
          <w:rFonts w:ascii="Arial" w:eastAsia="Arial" w:hAnsi="Arial" w:cs="Arial"/>
          <w:color w:val="000000"/>
          <w:sz w:val="24"/>
          <w:szCs w:val="24"/>
        </w:rPr>
        <w:t xml:space="preserve">Los montos máximos autorizados por municipio. </w:t>
      </w:r>
    </w:p>
    <w:p w:rsidR="00E011D9" w:rsidRDefault="008326B3">
      <w:pPr>
        <w:numPr>
          <w:ilvl w:val="0"/>
          <w:numId w:val="1"/>
        </w:numPr>
        <w:pBdr>
          <w:top w:val="nil"/>
          <w:left w:val="nil"/>
          <w:bottom w:val="nil"/>
          <w:right w:val="nil"/>
          <w:between w:val="nil"/>
        </w:pBdr>
        <w:spacing w:after="0" w:line="240" w:lineRule="auto"/>
        <w:ind w:left="714" w:hanging="357"/>
        <w:jc w:val="both"/>
      </w:pPr>
      <w:r>
        <w:rPr>
          <w:rFonts w:ascii="Arial" w:eastAsia="Arial" w:hAnsi="Arial" w:cs="Arial"/>
          <w:color w:val="000000"/>
          <w:sz w:val="24"/>
          <w:szCs w:val="24"/>
        </w:rPr>
        <w:t xml:space="preserve">La estructura general del financiamiento que podrán contratar. </w:t>
      </w:r>
    </w:p>
    <w:p w:rsidR="00E011D9" w:rsidRDefault="008326B3">
      <w:pPr>
        <w:numPr>
          <w:ilvl w:val="0"/>
          <w:numId w:val="1"/>
        </w:numPr>
        <w:pBdr>
          <w:top w:val="nil"/>
          <w:left w:val="nil"/>
          <w:bottom w:val="nil"/>
          <w:right w:val="nil"/>
          <w:between w:val="nil"/>
        </w:pBdr>
        <w:spacing w:after="0" w:line="240" w:lineRule="auto"/>
        <w:ind w:left="714" w:hanging="357"/>
        <w:jc w:val="both"/>
      </w:pPr>
      <w:r>
        <w:rPr>
          <w:rFonts w:ascii="Arial" w:eastAsia="Arial" w:hAnsi="Arial" w:cs="Arial"/>
          <w:color w:val="000000"/>
          <w:sz w:val="24"/>
          <w:szCs w:val="24"/>
        </w:rPr>
        <w:t xml:space="preserve">Los límites en monto y plazo correspondientes a su contratación. </w:t>
      </w:r>
    </w:p>
    <w:p w:rsidR="00E011D9" w:rsidRDefault="008326B3">
      <w:pPr>
        <w:numPr>
          <w:ilvl w:val="0"/>
          <w:numId w:val="1"/>
        </w:numPr>
        <w:pBdr>
          <w:top w:val="nil"/>
          <w:left w:val="nil"/>
          <w:bottom w:val="nil"/>
          <w:right w:val="nil"/>
          <w:between w:val="nil"/>
        </w:pBdr>
        <w:spacing w:after="0" w:line="240" w:lineRule="auto"/>
        <w:ind w:left="714" w:hanging="357"/>
        <w:jc w:val="both"/>
      </w:pPr>
      <w:r>
        <w:rPr>
          <w:rFonts w:ascii="Arial" w:eastAsia="Arial" w:hAnsi="Arial" w:cs="Arial"/>
          <w:color w:val="000000"/>
          <w:sz w:val="24"/>
          <w:szCs w:val="24"/>
        </w:rPr>
        <w:t xml:space="preserve">La obligación de inscribir las obligaciones derivadas de los financiamientos que contraten ante las autoridades competentes. </w:t>
      </w:r>
    </w:p>
    <w:p w:rsidR="00E011D9" w:rsidRDefault="008326B3">
      <w:pPr>
        <w:numPr>
          <w:ilvl w:val="0"/>
          <w:numId w:val="1"/>
        </w:numPr>
        <w:pBdr>
          <w:top w:val="nil"/>
          <w:left w:val="nil"/>
          <w:bottom w:val="nil"/>
          <w:right w:val="nil"/>
          <w:between w:val="nil"/>
        </w:pBdr>
        <w:spacing w:after="0" w:line="240" w:lineRule="auto"/>
        <w:ind w:left="714" w:hanging="357"/>
        <w:jc w:val="both"/>
      </w:pPr>
      <w:r>
        <w:rPr>
          <w:rFonts w:ascii="Arial" w:eastAsia="Arial" w:hAnsi="Arial" w:cs="Arial"/>
          <w:color w:val="000000"/>
          <w:sz w:val="24"/>
          <w:szCs w:val="24"/>
        </w:rPr>
        <w:t>La determinación de los rubros de gasto público a que podrán apl</w:t>
      </w:r>
      <w:r>
        <w:rPr>
          <w:rFonts w:ascii="Arial" w:eastAsia="Arial" w:hAnsi="Arial" w:cs="Arial"/>
          <w:color w:val="000000"/>
          <w:sz w:val="24"/>
          <w:szCs w:val="24"/>
        </w:rPr>
        <w:t>icarse los recursos del financiamiento, en términos de la legislación aplicable.</w:t>
      </w:r>
    </w:p>
    <w:p w:rsidR="00E011D9" w:rsidRDefault="008326B3">
      <w:pPr>
        <w:numPr>
          <w:ilvl w:val="0"/>
          <w:numId w:val="1"/>
        </w:numPr>
        <w:pBdr>
          <w:top w:val="nil"/>
          <w:left w:val="nil"/>
          <w:bottom w:val="nil"/>
          <w:right w:val="nil"/>
          <w:between w:val="nil"/>
        </w:pBdr>
        <w:spacing w:after="0" w:line="240" w:lineRule="auto"/>
        <w:ind w:left="714" w:hanging="357"/>
        <w:jc w:val="both"/>
      </w:pPr>
      <w:r>
        <w:rPr>
          <w:rFonts w:ascii="Arial" w:eastAsia="Arial" w:hAnsi="Arial" w:cs="Arial"/>
          <w:color w:val="000000"/>
          <w:sz w:val="24"/>
          <w:szCs w:val="24"/>
        </w:rPr>
        <w:t xml:space="preserve">El plazo máximo de amortización de la totalidad del o los financiamientos con que contarán los ayuntamientos. </w:t>
      </w:r>
    </w:p>
    <w:p w:rsidR="00E011D9" w:rsidRDefault="008326B3">
      <w:pPr>
        <w:numPr>
          <w:ilvl w:val="0"/>
          <w:numId w:val="1"/>
        </w:numPr>
        <w:pBdr>
          <w:top w:val="nil"/>
          <w:left w:val="nil"/>
          <w:bottom w:val="nil"/>
          <w:right w:val="nil"/>
          <w:between w:val="nil"/>
        </w:pBdr>
        <w:spacing w:after="0" w:line="240" w:lineRule="auto"/>
        <w:ind w:left="714" w:hanging="357"/>
        <w:jc w:val="both"/>
      </w:pPr>
      <w:r>
        <w:rPr>
          <w:rFonts w:ascii="Arial" w:eastAsia="Arial" w:hAnsi="Arial" w:cs="Arial"/>
          <w:color w:val="000000"/>
          <w:sz w:val="24"/>
          <w:szCs w:val="24"/>
        </w:rPr>
        <w:t>La suscripción de los instrumentos jurídicos complementarios nec</w:t>
      </w:r>
      <w:r>
        <w:rPr>
          <w:rFonts w:ascii="Arial" w:eastAsia="Arial" w:hAnsi="Arial" w:cs="Arial"/>
          <w:color w:val="000000"/>
          <w:sz w:val="24"/>
          <w:szCs w:val="24"/>
        </w:rPr>
        <w:t xml:space="preserve">esarios para contratar el financiamiento. </w:t>
      </w:r>
    </w:p>
    <w:p w:rsidR="00E011D9" w:rsidRDefault="008326B3">
      <w:pPr>
        <w:numPr>
          <w:ilvl w:val="0"/>
          <w:numId w:val="1"/>
        </w:numPr>
        <w:pBdr>
          <w:top w:val="nil"/>
          <w:left w:val="nil"/>
          <w:bottom w:val="nil"/>
          <w:right w:val="nil"/>
          <w:between w:val="nil"/>
        </w:pBdr>
        <w:spacing w:after="0" w:line="240" w:lineRule="auto"/>
        <w:ind w:left="714" w:hanging="357"/>
        <w:jc w:val="both"/>
      </w:pPr>
      <w:r>
        <w:rPr>
          <w:rFonts w:ascii="Arial" w:eastAsia="Arial" w:hAnsi="Arial" w:cs="Arial"/>
          <w:color w:val="000000"/>
          <w:sz w:val="24"/>
          <w:szCs w:val="24"/>
        </w:rPr>
        <w:t xml:space="preserve">La autorización de la afectación de las aportaciones del FAIS, hasta en un 25%. </w:t>
      </w:r>
    </w:p>
    <w:p w:rsidR="00E011D9" w:rsidRDefault="008326B3">
      <w:pPr>
        <w:numPr>
          <w:ilvl w:val="0"/>
          <w:numId w:val="1"/>
        </w:numPr>
        <w:pBdr>
          <w:top w:val="nil"/>
          <w:left w:val="nil"/>
          <w:bottom w:val="nil"/>
          <w:right w:val="nil"/>
          <w:between w:val="nil"/>
        </w:pBdr>
        <w:spacing w:after="0" w:line="240" w:lineRule="auto"/>
        <w:ind w:left="714" w:hanging="357"/>
        <w:jc w:val="both"/>
      </w:pPr>
      <w:r>
        <w:rPr>
          <w:rFonts w:ascii="Arial" w:eastAsia="Arial" w:hAnsi="Arial" w:cs="Arial"/>
          <w:color w:val="000000"/>
          <w:sz w:val="24"/>
          <w:szCs w:val="24"/>
        </w:rPr>
        <w:t xml:space="preserve">La creación de un fideicomiso de garantía de pago de las obligaciones que, en su caso, adquieran los municipios. </w:t>
      </w:r>
    </w:p>
    <w:p w:rsidR="00E011D9" w:rsidRDefault="008326B3">
      <w:pPr>
        <w:numPr>
          <w:ilvl w:val="0"/>
          <w:numId w:val="1"/>
        </w:numPr>
        <w:pBdr>
          <w:top w:val="nil"/>
          <w:left w:val="nil"/>
          <w:bottom w:val="nil"/>
          <w:right w:val="nil"/>
          <w:between w:val="nil"/>
        </w:pBdr>
        <w:spacing w:after="0" w:line="240" w:lineRule="auto"/>
        <w:ind w:left="714" w:hanging="357"/>
        <w:jc w:val="both"/>
        <w:rPr>
          <w:color w:val="000000"/>
          <w:sz w:val="24"/>
          <w:szCs w:val="24"/>
        </w:rPr>
      </w:pPr>
      <w:r>
        <w:rPr>
          <w:rFonts w:ascii="Arial" w:eastAsia="Arial" w:hAnsi="Arial" w:cs="Arial"/>
          <w:color w:val="000000"/>
          <w:sz w:val="24"/>
          <w:szCs w:val="24"/>
        </w:rPr>
        <w:t xml:space="preserve">La notificación a </w:t>
      </w:r>
      <w:r>
        <w:rPr>
          <w:rFonts w:ascii="Arial" w:eastAsia="Arial" w:hAnsi="Arial" w:cs="Arial"/>
          <w:color w:val="000000"/>
          <w:sz w:val="24"/>
          <w:szCs w:val="24"/>
        </w:rPr>
        <w:t xml:space="preserve">la Secretaría de Hacienda y Crédito Público de la afectación de las aportaciones del FAIS y su canalización al fideicomiso constituido como garantía de pago. </w:t>
      </w:r>
    </w:p>
    <w:p w:rsidR="00E011D9" w:rsidRDefault="008326B3">
      <w:pPr>
        <w:numPr>
          <w:ilvl w:val="0"/>
          <w:numId w:val="1"/>
        </w:numPr>
        <w:pBdr>
          <w:top w:val="nil"/>
          <w:left w:val="nil"/>
          <w:bottom w:val="nil"/>
          <w:right w:val="nil"/>
          <w:between w:val="nil"/>
        </w:pBdr>
        <w:spacing w:after="0" w:line="240" w:lineRule="auto"/>
        <w:ind w:left="714" w:hanging="357"/>
        <w:jc w:val="both"/>
        <w:rPr>
          <w:color w:val="000000"/>
          <w:sz w:val="24"/>
          <w:szCs w:val="24"/>
        </w:rPr>
      </w:pPr>
      <w:r>
        <w:rPr>
          <w:rFonts w:ascii="Arial" w:eastAsia="Arial" w:hAnsi="Arial" w:cs="Arial"/>
          <w:color w:val="000000"/>
          <w:sz w:val="24"/>
          <w:szCs w:val="24"/>
        </w:rPr>
        <w:t>La autorización de los ayuntamientos de celebrar un mandato especial para que la Secretaría de Ad</w:t>
      </w:r>
      <w:r>
        <w:rPr>
          <w:rFonts w:ascii="Arial" w:eastAsia="Arial" w:hAnsi="Arial" w:cs="Arial"/>
          <w:color w:val="000000"/>
          <w:sz w:val="24"/>
          <w:szCs w:val="24"/>
        </w:rPr>
        <w:t xml:space="preserve">ministración y Finanzas pague a la institución </w:t>
      </w:r>
      <w:r>
        <w:rPr>
          <w:rFonts w:ascii="Arial" w:eastAsia="Arial" w:hAnsi="Arial" w:cs="Arial"/>
          <w:color w:val="000000"/>
          <w:sz w:val="24"/>
          <w:szCs w:val="24"/>
        </w:rPr>
        <w:lastRenderedPageBreak/>
        <w:t xml:space="preserve">acreditante las obligaciones a cargo del municipio con cargo a los recursos del FAIS que se afecten en términos de este decreto. </w:t>
      </w:r>
    </w:p>
    <w:p w:rsidR="00E011D9" w:rsidRDefault="008326B3">
      <w:pPr>
        <w:numPr>
          <w:ilvl w:val="0"/>
          <w:numId w:val="1"/>
        </w:numPr>
        <w:pBdr>
          <w:top w:val="nil"/>
          <w:left w:val="nil"/>
          <w:bottom w:val="nil"/>
          <w:right w:val="nil"/>
          <w:between w:val="nil"/>
        </w:pBdr>
        <w:spacing w:after="0" w:line="240" w:lineRule="auto"/>
        <w:ind w:left="714" w:hanging="357"/>
        <w:jc w:val="both"/>
        <w:rPr>
          <w:color w:val="000000"/>
          <w:sz w:val="24"/>
          <w:szCs w:val="24"/>
        </w:rPr>
      </w:pPr>
      <w:r>
        <w:rPr>
          <w:rFonts w:ascii="Arial" w:eastAsia="Arial" w:hAnsi="Arial" w:cs="Arial"/>
          <w:color w:val="000000"/>
          <w:sz w:val="24"/>
          <w:szCs w:val="24"/>
        </w:rPr>
        <w:t>La obligación de los municipios que contraten financiamientos en términos de es</w:t>
      </w:r>
      <w:r>
        <w:rPr>
          <w:rFonts w:ascii="Arial" w:eastAsia="Arial" w:hAnsi="Arial" w:cs="Arial"/>
          <w:color w:val="000000"/>
          <w:sz w:val="24"/>
          <w:szCs w:val="24"/>
        </w:rPr>
        <w:t xml:space="preserve">te decreto de llevar a cabo el procedimiento de modificación de sus leyes de ingresos respectivas, en caso de que se lleve a cabo este año, o de incluir el monto a financiar en su ley de ingresos de 2023. </w:t>
      </w:r>
    </w:p>
    <w:p w:rsidR="00E011D9" w:rsidRDefault="008326B3">
      <w:pPr>
        <w:numPr>
          <w:ilvl w:val="0"/>
          <w:numId w:val="1"/>
        </w:numPr>
        <w:pBdr>
          <w:top w:val="nil"/>
          <w:left w:val="nil"/>
          <w:bottom w:val="nil"/>
          <w:right w:val="nil"/>
          <w:between w:val="nil"/>
        </w:pBdr>
        <w:spacing w:after="280" w:line="240" w:lineRule="auto"/>
        <w:ind w:left="714" w:hanging="357"/>
        <w:jc w:val="both"/>
        <w:rPr>
          <w:color w:val="000000"/>
          <w:sz w:val="24"/>
          <w:szCs w:val="24"/>
        </w:rPr>
      </w:pPr>
      <w:r>
        <w:rPr>
          <w:rFonts w:ascii="Arial" w:eastAsia="Arial" w:hAnsi="Arial" w:cs="Arial"/>
          <w:color w:val="000000"/>
          <w:sz w:val="24"/>
          <w:szCs w:val="24"/>
        </w:rPr>
        <w:t>La obligación de los ayuntamientos de ajustar o modificar su presupuesto de egresos 2022 o 2023, según corresponda, para considerar el importe que permita realizar las erogaciones derivadas de los créditos y de informar su ingreso y aplicación al rendir la</w:t>
      </w:r>
      <w:r>
        <w:rPr>
          <w:rFonts w:ascii="Arial" w:eastAsia="Arial" w:hAnsi="Arial" w:cs="Arial"/>
          <w:color w:val="000000"/>
          <w:sz w:val="24"/>
          <w:szCs w:val="24"/>
        </w:rPr>
        <w:t xml:space="preserve"> cuenta pública. </w:t>
      </w:r>
    </w:p>
    <w:p w:rsidR="00E011D9" w:rsidRDefault="008326B3">
      <w:pPr>
        <w:spacing w:before="300" w:after="300" w:line="240" w:lineRule="auto"/>
        <w:jc w:val="both"/>
        <w:rPr>
          <w:rFonts w:ascii="Arial" w:eastAsia="Arial" w:hAnsi="Arial" w:cs="Arial"/>
          <w:sz w:val="24"/>
          <w:szCs w:val="24"/>
        </w:rPr>
      </w:pPr>
      <w:r>
        <w:rPr>
          <w:rFonts w:ascii="Arial" w:eastAsia="Arial" w:hAnsi="Arial" w:cs="Arial"/>
          <w:sz w:val="24"/>
          <w:szCs w:val="24"/>
        </w:rPr>
        <w:t>Por otro lado, esta iniciativa contiene dos artículos transitorios por medio de los cuales se regula la entrada en vigor del decreto o autorización y la vigencia de esta.</w:t>
      </w:r>
    </w:p>
    <w:p w:rsidR="00E011D9" w:rsidRDefault="008326B3">
      <w:pPr>
        <w:spacing w:before="300" w:after="300" w:line="240" w:lineRule="auto"/>
        <w:jc w:val="both"/>
        <w:rPr>
          <w:rFonts w:ascii="Arial" w:eastAsia="Arial" w:hAnsi="Arial" w:cs="Arial"/>
          <w:sz w:val="24"/>
          <w:szCs w:val="24"/>
        </w:rPr>
      </w:pPr>
      <w:r>
        <w:rPr>
          <w:rFonts w:ascii="Arial" w:eastAsia="Arial" w:hAnsi="Arial" w:cs="Arial"/>
          <w:sz w:val="24"/>
          <w:szCs w:val="24"/>
        </w:rPr>
        <w:t>En virtud de lo anterior, y en ejercicio de la facultad que me conf</w:t>
      </w:r>
      <w:r>
        <w:rPr>
          <w:rFonts w:ascii="Arial" w:eastAsia="Arial" w:hAnsi="Arial" w:cs="Arial"/>
          <w:sz w:val="24"/>
          <w:szCs w:val="24"/>
        </w:rPr>
        <w:t>iere el artículo 35, fracción II, de la Constitución Política del Estado de Yucatán, someto a su consideración la siguiente:</w:t>
      </w:r>
    </w:p>
    <w:p w:rsidR="00E011D9" w:rsidRDefault="008326B3">
      <w:pPr>
        <w:spacing w:before="300" w:after="300" w:line="240" w:lineRule="auto"/>
        <w:jc w:val="both"/>
        <w:rPr>
          <w:rFonts w:ascii="Arial" w:eastAsia="Arial" w:hAnsi="Arial" w:cs="Arial"/>
          <w:b/>
          <w:sz w:val="24"/>
          <w:szCs w:val="24"/>
        </w:rPr>
      </w:pPr>
      <w:r>
        <w:rPr>
          <w:rFonts w:ascii="Arial" w:eastAsia="Arial" w:hAnsi="Arial" w:cs="Arial"/>
          <w:b/>
          <w:sz w:val="24"/>
          <w:szCs w:val="24"/>
        </w:rPr>
        <w:t>Iniciativa de Decreto por el que se autorizan montos máximos de endeudamiento a los cuales podrán acceder los municipios de Tekax y</w:t>
      </w:r>
      <w:r>
        <w:rPr>
          <w:rFonts w:ascii="Arial" w:eastAsia="Arial" w:hAnsi="Arial" w:cs="Arial"/>
          <w:b/>
          <w:sz w:val="24"/>
          <w:szCs w:val="24"/>
        </w:rPr>
        <w:t xml:space="preserve"> Tinum del Estado de Yucatán, para contratar uno o varios financiamientos que se destinarán a inversiones públicas productivas; asimismo, se autoriza la afectación como fuente de pago de un porcentaje del derecho a recibir y de los ingresos que individualm</w:t>
      </w:r>
      <w:r>
        <w:rPr>
          <w:rFonts w:ascii="Arial" w:eastAsia="Arial" w:hAnsi="Arial" w:cs="Arial"/>
          <w:b/>
          <w:sz w:val="24"/>
          <w:szCs w:val="24"/>
        </w:rPr>
        <w:t>ente les correspondan del Fondo de Aportaciones para la Infraestructura Social Municipal y de las Demarcaciones Territoriales del Distrito Federal, y la celebración de los mecanismos de pago de los financiamientos que contraten</w:t>
      </w:r>
    </w:p>
    <w:p w:rsidR="00E011D9" w:rsidRDefault="008326B3">
      <w:pPr>
        <w:spacing w:before="300" w:after="300" w:line="240" w:lineRule="auto"/>
        <w:jc w:val="both"/>
        <w:rPr>
          <w:rFonts w:ascii="Arial" w:eastAsia="Arial" w:hAnsi="Arial" w:cs="Arial"/>
          <w:b/>
          <w:sz w:val="24"/>
          <w:szCs w:val="24"/>
        </w:rPr>
      </w:pPr>
      <w:r>
        <w:rPr>
          <w:rFonts w:ascii="Arial" w:eastAsia="Arial" w:hAnsi="Arial" w:cs="Arial"/>
          <w:b/>
          <w:sz w:val="24"/>
          <w:szCs w:val="24"/>
        </w:rPr>
        <w:t>Artículo 1. Autorización</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Se </w:t>
      </w:r>
      <w:r>
        <w:rPr>
          <w:rFonts w:ascii="Arial" w:eastAsia="Arial" w:hAnsi="Arial" w:cs="Arial"/>
          <w:color w:val="000000"/>
          <w:sz w:val="24"/>
          <w:szCs w:val="24"/>
        </w:rPr>
        <w:t>autorizan los montos máximos de endeudamiento a los cuales podrán acceder los municipios de Tekax y Tinum para contratar deuda pública vía financiamiento que incremente el monto del endeudamiento neto adicional, en virtud del análisis previo de la capacida</w:t>
      </w:r>
      <w:r>
        <w:rPr>
          <w:rFonts w:ascii="Arial" w:eastAsia="Arial" w:hAnsi="Arial" w:cs="Arial"/>
          <w:color w:val="000000"/>
          <w:sz w:val="24"/>
          <w:szCs w:val="24"/>
        </w:rPr>
        <w:t xml:space="preserve">d de pago de los referidos municipios, del destino que se dará a los financiamientos que contraten individualmente y dispongan, respectivamente, con sustento en este y la garantía o fuente de pago que se constituirá con la afectación del derecho a recibir </w:t>
      </w:r>
      <w:r>
        <w:rPr>
          <w:rFonts w:ascii="Arial" w:eastAsia="Arial" w:hAnsi="Arial" w:cs="Arial"/>
          <w:color w:val="000000"/>
          <w:sz w:val="24"/>
          <w:szCs w:val="24"/>
        </w:rPr>
        <w:t>y los ingresos que correspondan del Fondo de Aportaciones para la Infraestructura Social Municipal y de las Demarcaciones Territoriales del Distrito Federal, autorizándose mediante el quórum específico de votación que se requiere de conformidad con lo esta</w:t>
      </w:r>
      <w:r>
        <w:rPr>
          <w:rFonts w:ascii="Arial" w:eastAsia="Arial" w:hAnsi="Arial" w:cs="Arial"/>
          <w:color w:val="000000"/>
          <w:sz w:val="24"/>
          <w:szCs w:val="24"/>
        </w:rPr>
        <w:t xml:space="preserve">blecido por el párrafo tercero </w:t>
      </w:r>
      <w:r>
        <w:rPr>
          <w:rFonts w:ascii="Arial" w:eastAsia="Arial" w:hAnsi="Arial" w:cs="Arial"/>
          <w:color w:val="000000"/>
          <w:sz w:val="24"/>
          <w:szCs w:val="24"/>
        </w:rPr>
        <w:lastRenderedPageBreak/>
        <w:t>de la fracción VIII del artículo 117 de la Constitución Política de los Estados Unidos Mexicanos.</w:t>
      </w:r>
    </w:p>
    <w:p w:rsidR="00E011D9" w:rsidRDefault="008326B3">
      <w:pP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Este decreto es de orden público e interés social y tiene por objetivo autorizar montos máximos de endeudamiento a los municipi</w:t>
      </w:r>
      <w:r>
        <w:rPr>
          <w:rFonts w:ascii="Arial" w:eastAsia="Arial" w:hAnsi="Arial" w:cs="Arial"/>
          <w:color w:val="000000"/>
          <w:sz w:val="24"/>
          <w:szCs w:val="24"/>
        </w:rPr>
        <w:t>os de Tekax y Tinum, para que por conducto de representantes legalmente facultados y, en términos de la ley, gestionen y contraten, de manera individual, con cualquier institución de crédito del sistema financiero mexicano, siempre que en cualquier caso of</w:t>
      </w:r>
      <w:r>
        <w:rPr>
          <w:rFonts w:ascii="Arial" w:eastAsia="Arial" w:hAnsi="Arial" w:cs="Arial"/>
          <w:color w:val="000000"/>
          <w:sz w:val="24"/>
          <w:szCs w:val="24"/>
        </w:rPr>
        <w:t>rezca las mejores condiciones de mercado, uno o varios financiamientos, a tasa fija, hasta por el monto máximo que para cada municipio se indica, para el destino, plazos, términos, condiciones y con las características que en este decreto se autorizan; par</w:t>
      </w:r>
      <w:r>
        <w:rPr>
          <w:rFonts w:ascii="Arial" w:eastAsia="Arial" w:hAnsi="Arial" w:cs="Arial"/>
          <w:color w:val="000000"/>
          <w:sz w:val="24"/>
          <w:szCs w:val="24"/>
        </w:rPr>
        <w:t>a que afecten como fuente de pago de las obligaciones que deriven de la contratación y disposición de los financiamientos un porcentaje del derecho a recibir y los flujos de recursos que anual e individualmente les correspondan del Fondo de Infraestructura</w:t>
      </w:r>
      <w:r>
        <w:rPr>
          <w:rFonts w:ascii="Arial" w:eastAsia="Arial" w:hAnsi="Arial" w:cs="Arial"/>
          <w:color w:val="000000"/>
          <w:sz w:val="24"/>
          <w:szCs w:val="24"/>
        </w:rPr>
        <w:t xml:space="preserve"> Social Municipal y de las Demarcaciones Territoriales del Distrito Federal, conforme a lo previsto en la Ley de Coordinación Fiscal y para que los municipios referidos, en su caso, celebren contratos de mandato especial irrevocable para actos de dominio, </w:t>
      </w:r>
      <w:r>
        <w:rPr>
          <w:rFonts w:ascii="Arial" w:eastAsia="Arial" w:hAnsi="Arial" w:cs="Arial"/>
          <w:color w:val="000000"/>
          <w:sz w:val="24"/>
          <w:szCs w:val="24"/>
        </w:rPr>
        <w:t>o bien, formalicen los convenios que se requieran para adherirse a un fideicomiso irrevocable de administración y fuente de pago, con objeto de formalizar el mecanismo de pago del o los financiamientos que individualmente contraten, con sustento y en térmi</w:t>
      </w:r>
      <w:r>
        <w:rPr>
          <w:rFonts w:ascii="Arial" w:eastAsia="Arial" w:hAnsi="Arial" w:cs="Arial"/>
          <w:color w:val="000000"/>
          <w:sz w:val="24"/>
          <w:szCs w:val="24"/>
        </w:rPr>
        <w:t xml:space="preserve">nos de lo que se autoriza en este decreto. </w:t>
      </w:r>
    </w:p>
    <w:p w:rsidR="00E011D9" w:rsidRDefault="008326B3">
      <w:pPr>
        <w:spacing w:before="300" w:after="300" w:line="240" w:lineRule="auto"/>
        <w:jc w:val="both"/>
        <w:rPr>
          <w:rFonts w:ascii="Arial" w:eastAsia="Arial" w:hAnsi="Arial" w:cs="Arial"/>
          <w:b/>
          <w:sz w:val="24"/>
          <w:szCs w:val="24"/>
        </w:rPr>
      </w:pPr>
      <w:r>
        <w:rPr>
          <w:rFonts w:ascii="Arial" w:eastAsia="Arial" w:hAnsi="Arial" w:cs="Arial"/>
          <w:b/>
          <w:sz w:val="24"/>
          <w:szCs w:val="24"/>
        </w:rPr>
        <w:t xml:space="preserve">Artículo 2. Montos máximos </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Se autoriza a los municipios de Tekax y Tinum el monto máximo de endeudamiento determinado en la Tabla 1 siguiente, para que por conducto del presidente municipal, síndico municipal, s</w:t>
      </w:r>
      <w:r>
        <w:rPr>
          <w:rFonts w:ascii="Arial" w:eastAsia="Arial" w:hAnsi="Arial" w:cs="Arial"/>
          <w:color w:val="000000"/>
          <w:sz w:val="24"/>
          <w:szCs w:val="24"/>
        </w:rPr>
        <w:t>ecretario municipal y tesorero municipal como funcionarios legalmente facultados del Ayuntamiento, contraten y ejerzan uno o varios financiamientos, bajo las mejores condiciones de mercado, con cualquier institución de crédito integrante del sistema financ</w:t>
      </w:r>
      <w:r>
        <w:rPr>
          <w:rFonts w:ascii="Arial" w:eastAsia="Arial" w:hAnsi="Arial" w:cs="Arial"/>
          <w:color w:val="000000"/>
          <w:sz w:val="24"/>
          <w:szCs w:val="24"/>
        </w:rPr>
        <w:t>iero mexicano, a tasa fija, hasta por el monto máximo que en cada caso se establece, con fundamento en los artículos 50 de la Ley de Coordinación Fiscal y 9 Ter de la Ley de Coordinación Fiscal del Estado de Yucatán y en el Acuerdo 40/2022 por el que se da</w:t>
      </w:r>
      <w:r>
        <w:rPr>
          <w:rFonts w:ascii="Arial" w:eastAsia="Arial" w:hAnsi="Arial" w:cs="Arial"/>
          <w:color w:val="000000"/>
          <w:sz w:val="24"/>
          <w:szCs w:val="24"/>
        </w:rPr>
        <w:t xml:space="preserve"> a conocer la fórmula, metodología y justificación de cada elemento, monto y calendario de ministraciones relativos a la distribución de los recursos del Fondo de Aportaciones para la Infraestructura Social Municipal y de las Demarcaciones Territoriales de</w:t>
      </w:r>
      <w:r>
        <w:rPr>
          <w:rFonts w:ascii="Arial" w:eastAsia="Arial" w:hAnsi="Arial" w:cs="Arial"/>
          <w:color w:val="000000"/>
          <w:sz w:val="24"/>
          <w:szCs w:val="24"/>
        </w:rPr>
        <w:t>l Distrito Federal y el monto y calendario de ministraciones del Fondo de Aportaciones para el Fortalecimiento de los Municipios y de las Demarcaciones Territoriales del Distrito Federal, entre los ayuntamientos del estado de Yucatán para el ejercicio fisc</w:t>
      </w:r>
      <w:r>
        <w:rPr>
          <w:rFonts w:ascii="Arial" w:eastAsia="Arial" w:hAnsi="Arial" w:cs="Arial"/>
          <w:color w:val="000000"/>
          <w:sz w:val="24"/>
          <w:szCs w:val="24"/>
        </w:rPr>
        <w:t>al 2022, publicado el 31 de enero de 2022 en el Diario Oficial del Gobierno del Estado de Yucatán.</w:t>
      </w:r>
    </w:p>
    <w:p w:rsidR="00E011D9" w:rsidRDefault="008326B3">
      <w:pPr>
        <w:spacing w:before="300" w:after="300" w:line="240" w:lineRule="auto"/>
        <w:jc w:val="center"/>
        <w:rPr>
          <w:rFonts w:ascii="Arial" w:eastAsia="Arial" w:hAnsi="Arial" w:cs="Arial"/>
          <w:b/>
          <w:sz w:val="24"/>
          <w:szCs w:val="24"/>
        </w:rPr>
      </w:pPr>
      <w:r>
        <w:rPr>
          <w:rFonts w:ascii="Arial" w:eastAsia="Arial" w:hAnsi="Arial" w:cs="Arial"/>
          <w:b/>
          <w:sz w:val="24"/>
          <w:szCs w:val="24"/>
        </w:rPr>
        <w:lastRenderedPageBreak/>
        <w:t>Tabla 1</w:t>
      </w:r>
    </w:p>
    <w:tbl>
      <w:tblPr>
        <w:tblStyle w:val="a"/>
        <w:tblW w:w="88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402"/>
        <w:gridCol w:w="4759"/>
      </w:tblGrid>
      <w:tr w:rsidR="00E011D9">
        <w:tc>
          <w:tcPr>
            <w:tcW w:w="709" w:type="dxa"/>
            <w:shd w:val="clear" w:color="auto" w:fill="000000"/>
            <w:vAlign w:val="center"/>
          </w:tcPr>
          <w:p w:rsidR="00E011D9" w:rsidRDefault="008326B3">
            <w:pPr>
              <w:spacing w:before="240" w:after="240"/>
              <w:jc w:val="center"/>
              <w:rPr>
                <w:rFonts w:ascii="Arial" w:eastAsia="Arial" w:hAnsi="Arial" w:cs="Arial"/>
                <w:b/>
                <w:sz w:val="20"/>
                <w:szCs w:val="20"/>
              </w:rPr>
            </w:pPr>
            <w:r>
              <w:rPr>
                <w:rFonts w:ascii="Arial" w:eastAsia="Arial" w:hAnsi="Arial" w:cs="Arial"/>
                <w:b/>
                <w:sz w:val="20"/>
                <w:szCs w:val="20"/>
              </w:rPr>
              <w:t>No.</w:t>
            </w:r>
          </w:p>
        </w:tc>
        <w:tc>
          <w:tcPr>
            <w:tcW w:w="3402" w:type="dxa"/>
            <w:shd w:val="clear" w:color="auto" w:fill="000000"/>
            <w:vAlign w:val="center"/>
          </w:tcPr>
          <w:p w:rsidR="00E011D9" w:rsidRDefault="008326B3">
            <w:pPr>
              <w:spacing w:before="240" w:after="240"/>
              <w:jc w:val="center"/>
              <w:rPr>
                <w:rFonts w:ascii="Arial" w:eastAsia="Arial" w:hAnsi="Arial" w:cs="Arial"/>
                <w:b/>
                <w:sz w:val="20"/>
                <w:szCs w:val="20"/>
              </w:rPr>
            </w:pPr>
            <w:r>
              <w:rPr>
                <w:rFonts w:ascii="Arial" w:eastAsia="Arial" w:hAnsi="Arial" w:cs="Arial"/>
                <w:b/>
                <w:sz w:val="20"/>
                <w:szCs w:val="20"/>
              </w:rPr>
              <w:t>Nombre del municipio</w:t>
            </w:r>
          </w:p>
        </w:tc>
        <w:tc>
          <w:tcPr>
            <w:tcW w:w="4759" w:type="dxa"/>
            <w:shd w:val="clear" w:color="auto" w:fill="000000"/>
            <w:vAlign w:val="center"/>
          </w:tcPr>
          <w:p w:rsidR="00E011D9" w:rsidRDefault="008326B3">
            <w:pPr>
              <w:spacing w:before="240" w:after="240"/>
              <w:jc w:val="center"/>
              <w:rPr>
                <w:rFonts w:ascii="Arial" w:eastAsia="Arial" w:hAnsi="Arial" w:cs="Arial"/>
                <w:b/>
                <w:sz w:val="20"/>
                <w:szCs w:val="20"/>
              </w:rPr>
            </w:pPr>
            <w:r>
              <w:rPr>
                <w:rFonts w:ascii="Arial" w:eastAsia="Arial" w:hAnsi="Arial" w:cs="Arial"/>
                <w:b/>
                <w:sz w:val="20"/>
                <w:szCs w:val="20"/>
              </w:rPr>
              <w:t>Monto máximo que cada municipio podrá contratar (pesos)</w:t>
            </w:r>
          </w:p>
        </w:tc>
      </w:tr>
      <w:tr w:rsidR="00E011D9">
        <w:tc>
          <w:tcPr>
            <w:tcW w:w="709" w:type="dxa"/>
            <w:vAlign w:val="center"/>
          </w:tcPr>
          <w:p w:rsidR="00E011D9" w:rsidRDefault="008326B3">
            <w:pPr>
              <w:spacing w:before="240" w:after="240"/>
              <w:jc w:val="center"/>
              <w:rPr>
                <w:rFonts w:ascii="Arial" w:eastAsia="Arial" w:hAnsi="Arial" w:cs="Arial"/>
                <w:sz w:val="20"/>
                <w:szCs w:val="20"/>
              </w:rPr>
            </w:pPr>
            <w:r>
              <w:rPr>
                <w:rFonts w:ascii="Arial" w:eastAsia="Arial" w:hAnsi="Arial" w:cs="Arial"/>
                <w:sz w:val="20"/>
                <w:szCs w:val="20"/>
              </w:rPr>
              <w:t>1</w:t>
            </w:r>
          </w:p>
        </w:tc>
        <w:tc>
          <w:tcPr>
            <w:tcW w:w="3402" w:type="dxa"/>
            <w:vAlign w:val="center"/>
          </w:tcPr>
          <w:p w:rsidR="00E011D9" w:rsidRDefault="008326B3">
            <w:pPr>
              <w:spacing w:before="240" w:after="240"/>
              <w:jc w:val="center"/>
              <w:rPr>
                <w:rFonts w:ascii="Arial" w:eastAsia="Arial" w:hAnsi="Arial" w:cs="Arial"/>
                <w:sz w:val="20"/>
                <w:szCs w:val="20"/>
              </w:rPr>
            </w:pPr>
            <w:r>
              <w:rPr>
                <w:rFonts w:ascii="Arial" w:eastAsia="Arial" w:hAnsi="Arial" w:cs="Arial"/>
                <w:sz w:val="20"/>
                <w:szCs w:val="20"/>
              </w:rPr>
              <w:t>Tekax</w:t>
            </w:r>
          </w:p>
        </w:tc>
        <w:tc>
          <w:tcPr>
            <w:tcW w:w="4759" w:type="dxa"/>
            <w:vAlign w:val="center"/>
          </w:tcPr>
          <w:p w:rsidR="00E011D9" w:rsidRDefault="008326B3">
            <w:pPr>
              <w:spacing w:before="240" w:after="240"/>
              <w:jc w:val="center"/>
              <w:rPr>
                <w:rFonts w:ascii="Arial" w:eastAsia="Arial" w:hAnsi="Arial" w:cs="Arial"/>
                <w:sz w:val="20"/>
                <w:szCs w:val="20"/>
              </w:rPr>
            </w:pPr>
            <w:r>
              <w:rPr>
                <w:rFonts w:ascii="Arial" w:eastAsia="Arial" w:hAnsi="Arial" w:cs="Arial"/>
                <w:sz w:val="20"/>
                <w:szCs w:val="20"/>
              </w:rPr>
              <w:t>47,939,022.00</w:t>
            </w:r>
          </w:p>
        </w:tc>
      </w:tr>
      <w:tr w:rsidR="00E011D9">
        <w:tc>
          <w:tcPr>
            <w:tcW w:w="709" w:type="dxa"/>
            <w:vAlign w:val="center"/>
          </w:tcPr>
          <w:p w:rsidR="00E011D9" w:rsidRDefault="008326B3">
            <w:pPr>
              <w:spacing w:before="240" w:after="240"/>
              <w:jc w:val="center"/>
              <w:rPr>
                <w:rFonts w:ascii="Arial" w:eastAsia="Arial" w:hAnsi="Arial" w:cs="Arial"/>
                <w:sz w:val="20"/>
                <w:szCs w:val="20"/>
              </w:rPr>
            </w:pPr>
            <w:r>
              <w:rPr>
                <w:rFonts w:ascii="Arial" w:eastAsia="Arial" w:hAnsi="Arial" w:cs="Arial"/>
                <w:sz w:val="20"/>
                <w:szCs w:val="20"/>
              </w:rPr>
              <w:t>2</w:t>
            </w:r>
          </w:p>
        </w:tc>
        <w:tc>
          <w:tcPr>
            <w:tcW w:w="3402" w:type="dxa"/>
            <w:vAlign w:val="center"/>
          </w:tcPr>
          <w:p w:rsidR="00E011D9" w:rsidRDefault="008326B3">
            <w:pPr>
              <w:spacing w:before="240" w:after="240"/>
              <w:jc w:val="center"/>
              <w:rPr>
                <w:rFonts w:ascii="Arial" w:eastAsia="Arial" w:hAnsi="Arial" w:cs="Arial"/>
                <w:sz w:val="20"/>
                <w:szCs w:val="20"/>
              </w:rPr>
            </w:pPr>
            <w:r>
              <w:rPr>
                <w:rFonts w:ascii="Arial" w:eastAsia="Arial" w:hAnsi="Arial" w:cs="Arial"/>
                <w:sz w:val="20"/>
                <w:szCs w:val="20"/>
              </w:rPr>
              <w:t>Tinum</w:t>
            </w:r>
          </w:p>
        </w:tc>
        <w:tc>
          <w:tcPr>
            <w:tcW w:w="4759" w:type="dxa"/>
            <w:vAlign w:val="center"/>
          </w:tcPr>
          <w:p w:rsidR="00E011D9" w:rsidRDefault="008326B3">
            <w:pPr>
              <w:spacing w:before="240" w:after="240"/>
              <w:jc w:val="center"/>
              <w:rPr>
                <w:rFonts w:ascii="Arial" w:eastAsia="Arial" w:hAnsi="Arial" w:cs="Arial"/>
                <w:sz w:val="20"/>
                <w:szCs w:val="20"/>
              </w:rPr>
            </w:pPr>
            <w:r>
              <w:rPr>
                <w:rFonts w:ascii="Arial" w:eastAsia="Arial" w:hAnsi="Arial" w:cs="Arial"/>
                <w:sz w:val="20"/>
                <w:szCs w:val="20"/>
              </w:rPr>
              <w:t>14,360,844.00</w:t>
            </w:r>
          </w:p>
        </w:tc>
      </w:tr>
    </w:tbl>
    <w:p w:rsidR="00E011D9" w:rsidRDefault="008326B3">
      <w:pPr>
        <w:spacing w:before="300" w:after="300" w:line="240" w:lineRule="auto"/>
        <w:jc w:val="both"/>
        <w:rPr>
          <w:rFonts w:ascii="Arial" w:eastAsia="Arial" w:hAnsi="Arial" w:cs="Arial"/>
          <w:sz w:val="24"/>
          <w:szCs w:val="24"/>
        </w:rPr>
      </w:pPr>
      <w:r>
        <w:rPr>
          <w:rFonts w:ascii="Arial" w:eastAsia="Arial" w:hAnsi="Arial" w:cs="Arial"/>
          <w:sz w:val="24"/>
          <w:szCs w:val="24"/>
        </w:rPr>
        <w:t>Los montos máximos que se precisan en la tabla anterior no comprenden los intereses, comisiones y demás accesorios que se establecerán en el o los instrumentos mediante los cuales se formalicen el o los financiamientos que cada municipio decida contratar c</w:t>
      </w:r>
      <w:r>
        <w:rPr>
          <w:rFonts w:ascii="Arial" w:eastAsia="Arial" w:hAnsi="Arial" w:cs="Arial"/>
          <w:sz w:val="24"/>
          <w:szCs w:val="24"/>
        </w:rPr>
        <w:t>on sustento en este decreto.</w:t>
      </w:r>
    </w:p>
    <w:p w:rsidR="00E011D9" w:rsidRDefault="008326B3">
      <w:pPr>
        <w:spacing w:before="300" w:after="300" w:line="240" w:lineRule="auto"/>
        <w:jc w:val="both"/>
        <w:rPr>
          <w:rFonts w:ascii="Arial" w:eastAsia="Arial" w:hAnsi="Arial" w:cs="Arial"/>
          <w:sz w:val="24"/>
          <w:szCs w:val="24"/>
        </w:rPr>
      </w:pPr>
      <w:r>
        <w:rPr>
          <w:rFonts w:ascii="Arial" w:eastAsia="Arial" w:hAnsi="Arial" w:cs="Arial"/>
          <w:sz w:val="24"/>
          <w:szCs w:val="24"/>
        </w:rPr>
        <w:t xml:space="preserve">El monto de cada financiamiento que individualmente decida contratar el municipio de que se trate, podrá determinarse en lo particular en el correspondiente contrato de apertura de crédito simple que al efecto se suscriba, sin </w:t>
      </w:r>
      <w:r>
        <w:rPr>
          <w:rFonts w:ascii="Arial" w:eastAsia="Arial" w:hAnsi="Arial" w:cs="Arial"/>
          <w:sz w:val="24"/>
          <w:szCs w:val="24"/>
        </w:rPr>
        <w:t>exceder el monto máximo determinado en la Tabla 1 anterior, para cada municipio.</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En caso de que los municipios referidos decidan contratar y ejercer uno o varios financiamientos, deberán afectar un porcentaje del derecho a recibir y de los ingresos que anu</w:t>
      </w:r>
      <w:r>
        <w:rPr>
          <w:rFonts w:ascii="Arial" w:eastAsia="Arial" w:hAnsi="Arial" w:cs="Arial"/>
          <w:color w:val="000000"/>
          <w:sz w:val="24"/>
          <w:szCs w:val="24"/>
        </w:rPr>
        <w:t>al e individualmente les correspondan del Fondo de Aportaciones para la Infraestructura Social Municipal y de las Demarcaciones Territoriales del Distrito Federal y celebrar los instrumentos jurídicos necesarios con objeto de formalizar el mecanismo de pag</w:t>
      </w:r>
      <w:r>
        <w:rPr>
          <w:rFonts w:ascii="Arial" w:eastAsia="Arial" w:hAnsi="Arial" w:cs="Arial"/>
          <w:color w:val="000000"/>
          <w:sz w:val="24"/>
          <w:szCs w:val="24"/>
        </w:rPr>
        <w:t>o del o los financiamientos que contraten en lo individual; es decir, contratos de mandato especial irrevocable para actos de dominio con la Secretaría de Administración y Finanzas del Poder Ejecutivo del Estado de Yucatán, o bien, los convenios necesarios</w:t>
      </w:r>
      <w:r>
        <w:rPr>
          <w:rFonts w:ascii="Arial" w:eastAsia="Arial" w:hAnsi="Arial" w:cs="Arial"/>
          <w:color w:val="000000"/>
          <w:sz w:val="24"/>
          <w:szCs w:val="24"/>
        </w:rPr>
        <w:t xml:space="preserve"> para adherirse a un fideicomiso irrevocable de administración y fuente de pago, para lo cual deberán obtener previamente la autorización de sus respectivos cabildos mediante el voto de las dos terceras partes de sus integrantes, de conformidad con lo esta</w:t>
      </w:r>
      <w:r>
        <w:rPr>
          <w:rFonts w:ascii="Arial" w:eastAsia="Arial" w:hAnsi="Arial" w:cs="Arial"/>
          <w:color w:val="000000"/>
          <w:sz w:val="24"/>
          <w:szCs w:val="24"/>
        </w:rPr>
        <w:t>blecido en el artículo 13 de la Ley de Deuda Pública del Estado de Yucatán.</w:t>
      </w:r>
    </w:p>
    <w:p w:rsidR="00E011D9" w:rsidRDefault="008326B3">
      <w:pPr>
        <w:spacing w:before="300" w:after="300" w:line="240" w:lineRule="auto"/>
        <w:jc w:val="both"/>
        <w:rPr>
          <w:rFonts w:ascii="Arial" w:eastAsia="Arial" w:hAnsi="Arial" w:cs="Arial"/>
          <w:b/>
          <w:sz w:val="24"/>
          <w:szCs w:val="24"/>
        </w:rPr>
      </w:pPr>
      <w:r>
        <w:rPr>
          <w:rFonts w:ascii="Arial" w:eastAsia="Arial" w:hAnsi="Arial" w:cs="Arial"/>
          <w:b/>
          <w:sz w:val="24"/>
          <w:szCs w:val="24"/>
        </w:rPr>
        <w:t xml:space="preserve">Artículo 3. Contratación de financiamiento </w:t>
      </w:r>
    </w:p>
    <w:p w:rsidR="00E011D9" w:rsidRDefault="008326B3">
      <w:pPr>
        <w:spacing w:before="300" w:after="300" w:line="240" w:lineRule="auto"/>
        <w:jc w:val="both"/>
        <w:rPr>
          <w:rFonts w:ascii="Arial" w:eastAsia="Arial" w:hAnsi="Arial" w:cs="Arial"/>
          <w:sz w:val="24"/>
          <w:szCs w:val="24"/>
        </w:rPr>
      </w:pPr>
      <w:r>
        <w:rPr>
          <w:rFonts w:ascii="Arial" w:eastAsia="Arial" w:hAnsi="Arial" w:cs="Arial"/>
          <w:sz w:val="24"/>
          <w:szCs w:val="24"/>
        </w:rPr>
        <w:t xml:space="preserve">Los municipios de Tekax y Tinum podrán negociar con la institución de crédito integrante del sistema financiero mexicano acreditante, los términos y condiciones del o los financiamientos que cada uno de ellos decida contratar, con excepción de </w:t>
      </w:r>
      <w:r>
        <w:rPr>
          <w:rFonts w:ascii="Arial" w:eastAsia="Arial" w:hAnsi="Arial" w:cs="Arial"/>
          <w:sz w:val="24"/>
          <w:szCs w:val="24"/>
        </w:rPr>
        <w:lastRenderedPageBreak/>
        <w:t>la tasa fija</w:t>
      </w:r>
      <w:r>
        <w:rPr>
          <w:rFonts w:ascii="Arial" w:eastAsia="Arial" w:hAnsi="Arial" w:cs="Arial"/>
          <w:sz w:val="24"/>
          <w:szCs w:val="24"/>
        </w:rPr>
        <w:t>, en el entendido que para determinar el monto de cada financiamiento, deberán considerarse los recursos que anualmente podrán destinar del Fondo de Aportaciones para la Infraestructura Social Municipal y de las Demarcaciones Territoriales del Distrito Fed</w:t>
      </w:r>
      <w:r>
        <w:rPr>
          <w:rFonts w:ascii="Arial" w:eastAsia="Arial" w:hAnsi="Arial" w:cs="Arial"/>
          <w:sz w:val="24"/>
          <w:szCs w:val="24"/>
        </w:rPr>
        <w:t>eral para el pago del servicio de su deuda, incluidos el pago de capital, comisiones, intereses y accesorios financieros, no podrán exceder del 25% (veinticinco por ciento) anual del derecho a recibir y los flujos de recursos que individualmente les corres</w:t>
      </w:r>
      <w:r>
        <w:rPr>
          <w:rFonts w:ascii="Arial" w:eastAsia="Arial" w:hAnsi="Arial" w:cs="Arial"/>
          <w:sz w:val="24"/>
          <w:szCs w:val="24"/>
        </w:rPr>
        <w:t>pondan por este concepto en el ejercicio fiscal que se encuentre transcurriendo, o bien, en el año en que el financiamiento de que se trate hubiere sido contratado, lo que resulte mayor, en términos de lo previsto en el artículo 50 de la Ley de Coordinació</w:t>
      </w:r>
      <w:r>
        <w:rPr>
          <w:rFonts w:ascii="Arial" w:eastAsia="Arial" w:hAnsi="Arial" w:cs="Arial"/>
          <w:sz w:val="24"/>
          <w:szCs w:val="24"/>
        </w:rPr>
        <w:t xml:space="preserve">n Fiscal. </w:t>
      </w:r>
    </w:p>
    <w:p w:rsidR="00E011D9" w:rsidRDefault="008326B3">
      <w:pPr>
        <w:spacing w:before="300" w:after="300" w:line="240" w:lineRule="auto"/>
        <w:jc w:val="both"/>
        <w:rPr>
          <w:rFonts w:ascii="Arial" w:eastAsia="Arial" w:hAnsi="Arial" w:cs="Arial"/>
          <w:sz w:val="24"/>
          <w:szCs w:val="24"/>
        </w:rPr>
      </w:pPr>
      <w:r>
        <w:rPr>
          <w:rFonts w:ascii="Arial" w:eastAsia="Arial" w:hAnsi="Arial" w:cs="Arial"/>
          <w:sz w:val="24"/>
          <w:szCs w:val="24"/>
        </w:rPr>
        <w:t>Los municipios de Tekax y Tinum podrán contratar o ejercer uno o varios financiamientos hasta por el plazo, monto máximo y características establecidas en el presente decreto, en el transcurso de los ejercicios fiscales 2022 y 2023 inclusive, pe</w:t>
      </w:r>
      <w:r>
        <w:rPr>
          <w:rFonts w:ascii="Arial" w:eastAsia="Arial" w:hAnsi="Arial" w:cs="Arial"/>
          <w:sz w:val="24"/>
          <w:szCs w:val="24"/>
        </w:rPr>
        <w:t xml:space="preserve">ro en cualquier caso deberán pagarlos en su totalidad en un plazo que no exceda el período constitucional de la administración municipal que lo contrate, esto es, las obligaciones de pago contraídas deberán quedar liquidadas a más tardar el 1 de agosto de </w:t>
      </w:r>
      <w:r>
        <w:rPr>
          <w:rFonts w:ascii="Arial" w:eastAsia="Arial" w:hAnsi="Arial" w:cs="Arial"/>
          <w:sz w:val="24"/>
          <w:szCs w:val="24"/>
        </w:rPr>
        <w:t>2024, en el entendido que cada contrato individual que al efecto se celebre deberá precisar el plazo máximo en días y la fecha específica de vencimiento para el financiamiento.</w:t>
      </w:r>
    </w:p>
    <w:p w:rsidR="00E011D9" w:rsidRDefault="008326B3">
      <w:pPr>
        <w:spacing w:before="300" w:after="300" w:line="240" w:lineRule="auto"/>
        <w:jc w:val="both"/>
        <w:rPr>
          <w:rFonts w:ascii="Arial" w:eastAsia="Arial" w:hAnsi="Arial" w:cs="Arial"/>
          <w:sz w:val="24"/>
          <w:szCs w:val="24"/>
        </w:rPr>
      </w:pPr>
      <w:r>
        <w:rPr>
          <w:rFonts w:ascii="Arial" w:eastAsia="Arial" w:hAnsi="Arial" w:cs="Arial"/>
          <w:sz w:val="24"/>
          <w:szCs w:val="24"/>
        </w:rPr>
        <w:t>La contratación de los financiamientos, deberá llevarse a cabo en las mejores c</w:t>
      </w:r>
      <w:r>
        <w:rPr>
          <w:rFonts w:ascii="Arial" w:eastAsia="Arial" w:hAnsi="Arial" w:cs="Arial"/>
          <w:sz w:val="24"/>
          <w:szCs w:val="24"/>
        </w:rPr>
        <w:t>ondiciones de mercado, para lo cual los municipios del estado de Yucatán, de manera individual a través de funcionarios facultados para ello, implementarán el proceso competitivo respectivo.</w:t>
      </w:r>
    </w:p>
    <w:p w:rsidR="00E011D9" w:rsidRDefault="008326B3">
      <w:pPr>
        <w:spacing w:before="300" w:after="300" w:line="240" w:lineRule="auto"/>
        <w:jc w:val="both"/>
        <w:rPr>
          <w:rFonts w:ascii="Arial" w:eastAsia="Arial" w:hAnsi="Arial" w:cs="Arial"/>
          <w:sz w:val="24"/>
          <w:szCs w:val="24"/>
        </w:rPr>
      </w:pPr>
      <w:r>
        <w:rPr>
          <w:rFonts w:ascii="Arial" w:eastAsia="Arial" w:hAnsi="Arial" w:cs="Arial"/>
          <w:sz w:val="24"/>
          <w:szCs w:val="24"/>
        </w:rPr>
        <w:t>Adicionalmente, se autoriza que los municipios de Tekax y Tinum p</w:t>
      </w:r>
      <w:r>
        <w:rPr>
          <w:rFonts w:ascii="Arial" w:eastAsia="Arial" w:hAnsi="Arial" w:cs="Arial"/>
          <w:sz w:val="24"/>
          <w:szCs w:val="24"/>
        </w:rPr>
        <w:t>uedan agruparse para que, entre dos o más de ellos, realicen el proceso competitivo a su favor, con objeto de obtener mejores condiciones de mercado, que si lo hicieren de manera individual.</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4. Inscripción del financiamiento </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Las obligaciones que </w:t>
      </w:r>
      <w:r>
        <w:rPr>
          <w:rFonts w:ascii="Arial" w:eastAsia="Arial" w:hAnsi="Arial" w:cs="Arial"/>
          <w:color w:val="000000"/>
          <w:sz w:val="24"/>
          <w:szCs w:val="24"/>
        </w:rPr>
        <w:t>deriven de los financiamientos que contraten los municipios referidos en el artículo 1, de manera individual, con base en este decreto, constituirán deuda pública; en consecuencia, deberán inscribirse en el Registro de Empréstitos y Obligaciones del Estado</w:t>
      </w:r>
      <w:r>
        <w:rPr>
          <w:rFonts w:ascii="Arial" w:eastAsia="Arial" w:hAnsi="Arial" w:cs="Arial"/>
          <w:color w:val="000000"/>
          <w:sz w:val="24"/>
          <w:szCs w:val="24"/>
        </w:rPr>
        <w:t xml:space="preserve"> de Yucatán, a cargo de la Secretaría de Administración y Finanzas, y ante el Registro Público Único de Financiamientos y Obligaciones de Entidades Federativas y Municipios que lleva la Secretaría de Hacienda y Crédito Público, en los términos que establec</w:t>
      </w:r>
      <w:r>
        <w:rPr>
          <w:rFonts w:ascii="Arial" w:eastAsia="Arial" w:hAnsi="Arial" w:cs="Arial"/>
          <w:color w:val="000000"/>
          <w:sz w:val="24"/>
          <w:szCs w:val="24"/>
        </w:rPr>
        <w:t>en las disposiciones legales y administrativas aplicables.</w:t>
      </w:r>
    </w:p>
    <w:p w:rsidR="00E011D9" w:rsidRDefault="008326B3">
      <w:pPr>
        <w:pBdr>
          <w:top w:val="nil"/>
          <w:left w:val="nil"/>
          <w:bottom w:val="nil"/>
          <w:right w:val="nil"/>
          <w:between w:val="nil"/>
        </w:pBdr>
        <w:spacing w:before="300" w:after="30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Artículo 5. Destino de los recursos </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Los recursos obtenidos de los financiamientos que se contraten con base en la presente autorización, deberán destinarse de conformidad con lo que dispone el artículo 33, Inciso A, Numeral I, de la Ley de Coordinación Fiscal y lo previsto en el catálogo de </w:t>
      </w:r>
      <w:r>
        <w:rPr>
          <w:rFonts w:ascii="Arial" w:eastAsia="Arial" w:hAnsi="Arial" w:cs="Arial"/>
          <w:color w:val="000000"/>
          <w:sz w:val="24"/>
          <w:szCs w:val="24"/>
        </w:rPr>
        <w:t xml:space="preserve">acciones establecido en los Lineamientos del Fondo de Aportaciones para la Infraestructura Social, emitidos por la Secretaría de Bienestar y publicados en el Diario Oficial de la Federación el 25 de enero de 2022, incluidas las modificaciones que de dicho </w:t>
      </w:r>
      <w:r>
        <w:rPr>
          <w:rFonts w:ascii="Arial" w:eastAsia="Arial" w:hAnsi="Arial" w:cs="Arial"/>
          <w:color w:val="000000"/>
          <w:sz w:val="24"/>
          <w:szCs w:val="24"/>
        </w:rPr>
        <w:t>ordenamiento jurídico se efectúen de tiempo en tiempo, o aquellos que lo sustituyan, y que se consideren inversiones públicas productivas en términos de lo que dispone el artículo 2, fracción XXV, de la Ley de Disciplina Financiera de las Entidades Federat</w:t>
      </w:r>
      <w:r>
        <w:rPr>
          <w:rFonts w:ascii="Arial" w:eastAsia="Arial" w:hAnsi="Arial" w:cs="Arial"/>
          <w:color w:val="000000"/>
          <w:sz w:val="24"/>
          <w:szCs w:val="24"/>
        </w:rPr>
        <w:t xml:space="preserve">ivas y los Municipios. </w:t>
      </w:r>
    </w:p>
    <w:p w:rsidR="00E011D9" w:rsidRDefault="008326B3">
      <w:pPr>
        <w:spacing w:before="300" w:after="300" w:line="240" w:lineRule="auto"/>
        <w:jc w:val="both"/>
        <w:rPr>
          <w:rFonts w:ascii="Arial" w:eastAsia="Arial" w:hAnsi="Arial" w:cs="Arial"/>
          <w:sz w:val="24"/>
          <w:szCs w:val="24"/>
        </w:rPr>
      </w:pPr>
      <w:r>
        <w:rPr>
          <w:rFonts w:ascii="Arial" w:eastAsia="Arial" w:hAnsi="Arial" w:cs="Arial"/>
          <w:sz w:val="24"/>
          <w:szCs w:val="24"/>
        </w:rPr>
        <w:t>Esto es, los recursos se destinarán a financiar, incluido en su caso el Impuesto al Valor Agregado, inversiones públicas productivas, según corresponda, que comprendan, entre otros, obras, acciones sociales básicas o inversiones que</w:t>
      </w:r>
      <w:r>
        <w:rPr>
          <w:rFonts w:ascii="Arial" w:eastAsia="Arial" w:hAnsi="Arial" w:cs="Arial"/>
          <w:sz w:val="24"/>
          <w:szCs w:val="24"/>
        </w:rPr>
        <w:t xml:space="preserve"> beneficien directamente a población en pobreza extrema y localidades con alto o muy alto nivel de rezago social, conforme a lo previsto en la Ley General de Desarrollo Social, y en las zonas de atención prioritaria, particularmente en los siguientes rubro</w:t>
      </w:r>
      <w:r>
        <w:rPr>
          <w:rFonts w:ascii="Arial" w:eastAsia="Arial" w:hAnsi="Arial" w:cs="Arial"/>
          <w:sz w:val="24"/>
          <w:szCs w:val="24"/>
        </w:rPr>
        <w:t xml:space="preserve">s: </w:t>
      </w:r>
    </w:p>
    <w:p w:rsidR="00E011D9" w:rsidRDefault="008326B3">
      <w:pPr>
        <w:pBdr>
          <w:top w:val="nil"/>
          <w:left w:val="nil"/>
          <w:bottom w:val="nil"/>
          <w:right w:val="nil"/>
          <w:between w:val="nil"/>
        </w:pBdr>
        <w:spacing w:before="300" w:after="300" w:line="240" w:lineRule="auto"/>
        <w:ind w:firstLine="709"/>
        <w:rPr>
          <w:rFonts w:ascii="Arial" w:eastAsia="Arial" w:hAnsi="Arial" w:cs="Arial"/>
          <w:color w:val="000000"/>
          <w:sz w:val="24"/>
          <w:szCs w:val="24"/>
        </w:rPr>
      </w:pPr>
      <w:r>
        <w:rPr>
          <w:rFonts w:ascii="Arial" w:eastAsia="Arial" w:hAnsi="Arial" w:cs="Arial"/>
          <w:color w:val="000000"/>
          <w:sz w:val="24"/>
          <w:szCs w:val="24"/>
        </w:rPr>
        <w:t xml:space="preserve">I. Agua potable. </w:t>
      </w:r>
    </w:p>
    <w:p w:rsidR="00E011D9" w:rsidRDefault="008326B3">
      <w:pPr>
        <w:spacing w:before="300" w:after="300" w:line="240" w:lineRule="auto"/>
        <w:ind w:firstLine="709"/>
        <w:jc w:val="both"/>
        <w:rPr>
          <w:rFonts w:ascii="Arial" w:eastAsia="Arial" w:hAnsi="Arial" w:cs="Arial"/>
          <w:sz w:val="24"/>
          <w:szCs w:val="24"/>
        </w:rPr>
      </w:pPr>
      <w:r>
        <w:rPr>
          <w:rFonts w:ascii="Arial" w:eastAsia="Arial" w:hAnsi="Arial" w:cs="Arial"/>
          <w:sz w:val="24"/>
          <w:szCs w:val="24"/>
        </w:rPr>
        <w:t xml:space="preserve">II. Alcantarillado. </w:t>
      </w:r>
    </w:p>
    <w:p w:rsidR="00E011D9" w:rsidRDefault="008326B3">
      <w:pPr>
        <w:pBdr>
          <w:top w:val="nil"/>
          <w:left w:val="nil"/>
          <w:bottom w:val="nil"/>
          <w:right w:val="nil"/>
          <w:between w:val="nil"/>
        </w:pBdr>
        <w:spacing w:before="300" w:after="300" w:line="240" w:lineRule="auto"/>
        <w:ind w:firstLine="709"/>
        <w:rPr>
          <w:rFonts w:ascii="Arial" w:eastAsia="Arial" w:hAnsi="Arial" w:cs="Arial"/>
          <w:color w:val="000000"/>
          <w:sz w:val="24"/>
          <w:szCs w:val="24"/>
        </w:rPr>
      </w:pPr>
      <w:r>
        <w:rPr>
          <w:rFonts w:ascii="Arial" w:eastAsia="Arial" w:hAnsi="Arial" w:cs="Arial"/>
          <w:color w:val="000000"/>
          <w:sz w:val="24"/>
          <w:szCs w:val="24"/>
        </w:rPr>
        <w:t xml:space="preserve">III. Drenaje. </w:t>
      </w:r>
    </w:p>
    <w:p w:rsidR="00E011D9" w:rsidRDefault="008326B3">
      <w:pPr>
        <w:pBdr>
          <w:top w:val="nil"/>
          <w:left w:val="nil"/>
          <w:bottom w:val="nil"/>
          <w:right w:val="nil"/>
          <w:between w:val="nil"/>
        </w:pBdr>
        <w:spacing w:before="300" w:after="300" w:line="240" w:lineRule="auto"/>
        <w:ind w:firstLine="709"/>
        <w:rPr>
          <w:rFonts w:ascii="Arial" w:eastAsia="Arial" w:hAnsi="Arial" w:cs="Arial"/>
          <w:color w:val="000000"/>
          <w:sz w:val="24"/>
          <w:szCs w:val="24"/>
        </w:rPr>
      </w:pPr>
      <w:r>
        <w:rPr>
          <w:rFonts w:ascii="Arial" w:eastAsia="Arial" w:hAnsi="Arial" w:cs="Arial"/>
          <w:color w:val="000000"/>
          <w:sz w:val="24"/>
          <w:szCs w:val="24"/>
        </w:rPr>
        <w:t xml:space="preserve">IV. Urbanización. </w:t>
      </w:r>
    </w:p>
    <w:p w:rsidR="00E011D9" w:rsidRDefault="008326B3">
      <w:pPr>
        <w:pBdr>
          <w:top w:val="nil"/>
          <w:left w:val="nil"/>
          <w:bottom w:val="nil"/>
          <w:right w:val="nil"/>
          <w:between w:val="nil"/>
        </w:pBdr>
        <w:spacing w:before="300" w:after="300" w:line="240" w:lineRule="auto"/>
        <w:ind w:firstLine="709"/>
        <w:rPr>
          <w:rFonts w:ascii="Arial" w:eastAsia="Arial" w:hAnsi="Arial" w:cs="Arial"/>
          <w:color w:val="000000"/>
          <w:sz w:val="24"/>
          <w:szCs w:val="24"/>
        </w:rPr>
      </w:pPr>
      <w:r>
        <w:rPr>
          <w:rFonts w:ascii="Arial" w:eastAsia="Arial" w:hAnsi="Arial" w:cs="Arial"/>
          <w:color w:val="000000"/>
          <w:sz w:val="24"/>
          <w:szCs w:val="24"/>
        </w:rPr>
        <w:t xml:space="preserve">V. Electrificación rural y de colonias pobres. </w:t>
      </w:r>
    </w:p>
    <w:p w:rsidR="00E011D9" w:rsidRDefault="008326B3">
      <w:pPr>
        <w:pBdr>
          <w:top w:val="nil"/>
          <w:left w:val="nil"/>
          <w:bottom w:val="nil"/>
          <w:right w:val="nil"/>
          <w:between w:val="nil"/>
        </w:pBdr>
        <w:spacing w:before="300" w:after="300" w:line="240" w:lineRule="auto"/>
        <w:ind w:firstLine="709"/>
        <w:rPr>
          <w:rFonts w:ascii="Arial" w:eastAsia="Arial" w:hAnsi="Arial" w:cs="Arial"/>
          <w:color w:val="000000"/>
          <w:sz w:val="24"/>
          <w:szCs w:val="24"/>
        </w:rPr>
      </w:pPr>
      <w:r>
        <w:rPr>
          <w:rFonts w:ascii="Arial" w:eastAsia="Arial" w:hAnsi="Arial" w:cs="Arial"/>
          <w:color w:val="000000"/>
          <w:sz w:val="24"/>
          <w:szCs w:val="24"/>
        </w:rPr>
        <w:t xml:space="preserve">VI. Infraestructura básica del sector salud y educativo. </w:t>
      </w:r>
    </w:p>
    <w:p w:rsidR="00E011D9" w:rsidRDefault="008326B3">
      <w:pPr>
        <w:spacing w:before="300" w:after="300" w:line="240" w:lineRule="auto"/>
        <w:jc w:val="both"/>
        <w:rPr>
          <w:rFonts w:ascii="Arial" w:eastAsia="Arial" w:hAnsi="Arial" w:cs="Arial"/>
          <w:sz w:val="24"/>
          <w:szCs w:val="24"/>
        </w:rPr>
      </w:pPr>
      <w:r>
        <w:rPr>
          <w:rFonts w:ascii="Arial" w:eastAsia="Arial" w:hAnsi="Arial" w:cs="Arial"/>
          <w:sz w:val="24"/>
          <w:szCs w:val="24"/>
        </w:rPr>
        <w:t>Los municipios previstos en el artículo 1 que contraten uno o más financiamientos vigilarán que el manejo de los recursos se encuentre estrictamente apegado a los principios legalidad, honestidad, eficacia, eficiencia, economía, racionalidad, austeridad, t</w:t>
      </w:r>
      <w:r>
        <w:rPr>
          <w:rFonts w:ascii="Arial" w:eastAsia="Arial" w:hAnsi="Arial" w:cs="Arial"/>
          <w:sz w:val="24"/>
          <w:szCs w:val="24"/>
        </w:rPr>
        <w:t xml:space="preserve">ransparencia, control y rendición de cuentas, antepuestos en la Ley de Disciplina Financiera de las Entidades Federativas y los Municipios. </w:t>
      </w:r>
    </w:p>
    <w:p w:rsidR="00E011D9" w:rsidRDefault="008326B3">
      <w:pPr>
        <w:pBdr>
          <w:top w:val="nil"/>
          <w:left w:val="nil"/>
          <w:bottom w:val="nil"/>
          <w:right w:val="nil"/>
          <w:between w:val="nil"/>
        </w:pBdr>
        <w:spacing w:before="300" w:after="300" w:line="240" w:lineRule="auto"/>
        <w:rPr>
          <w:rFonts w:ascii="Arial" w:eastAsia="Arial" w:hAnsi="Arial" w:cs="Arial"/>
          <w:b/>
          <w:color w:val="000000"/>
          <w:sz w:val="24"/>
          <w:szCs w:val="24"/>
        </w:rPr>
      </w:pPr>
      <w:r>
        <w:rPr>
          <w:rFonts w:ascii="Arial" w:eastAsia="Arial" w:hAnsi="Arial" w:cs="Arial"/>
          <w:b/>
          <w:color w:val="000000"/>
          <w:sz w:val="24"/>
          <w:szCs w:val="24"/>
        </w:rPr>
        <w:t xml:space="preserve">Artículo 6. Amortización </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Los financiamientos a que se refiere este decreto deberán amortizarse en su totalidad dentro del período constitucional de la administración que lo contrate, a más tardar el 1 de agosto de 2024, con apego en lo establecido por los artículos 5, 8, 10 y 12 d</w:t>
      </w:r>
      <w:r>
        <w:rPr>
          <w:rFonts w:ascii="Arial" w:eastAsia="Arial" w:hAnsi="Arial" w:cs="Arial"/>
          <w:color w:val="000000"/>
          <w:sz w:val="24"/>
          <w:szCs w:val="24"/>
        </w:rPr>
        <w:t>e la Ley de Deuda Pública del Estado de Yucatán; los artículos 22, 24 y demás aplicables de la Ley de Disciplina Financiera de las Entidades Federativas y los Municipios y los artículos 25 y 31 del Reglamento del Registro Público Único de Financiamientos y</w:t>
      </w:r>
      <w:r>
        <w:rPr>
          <w:rFonts w:ascii="Arial" w:eastAsia="Arial" w:hAnsi="Arial" w:cs="Arial"/>
          <w:color w:val="000000"/>
          <w:sz w:val="24"/>
          <w:szCs w:val="24"/>
        </w:rPr>
        <w:t xml:space="preserve"> Obligaciones de Entidades Federativas y Municipios. </w:t>
      </w:r>
    </w:p>
    <w:p w:rsidR="00E011D9" w:rsidRDefault="008326B3">
      <w:pPr>
        <w:pBdr>
          <w:top w:val="nil"/>
          <w:left w:val="nil"/>
          <w:bottom w:val="nil"/>
          <w:right w:val="nil"/>
          <w:between w:val="nil"/>
        </w:pBdr>
        <w:spacing w:before="300" w:after="300" w:line="240" w:lineRule="auto"/>
        <w:rPr>
          <w:rFonts w:ascii="Arial" w:eastAsia="Arial" w:hAnsi="Arial" w:cs="Arial"/>
          <w:color w:val="000000"/>
          <w:sz w:val="24"/>
          <w:szCs w:val="24"/>
        </w:rPr>
      </w:pPr>
      <w:r>
        <w:rPr>
          <w:rFonts w:ascii="Arial" w:eastAsia="Arial" w:hAnsi="Arial" w:cs="Arial"/>
          <w:color w:val="000000"/>
          <w:sz w:val="24"/>
          <w:szCs w:val="24"/>
        </w:rPr>
        <w:t xml:space="preserve">El plazo de amortización que se establezca en los contratos de apertura de crédito simple que al efecto se suscriban, no podrá ser menor o igual a doce meses. </w:t>
      </w:r>
    </w:p>
    <w:p w:rsidR="00E011D9" w:rsidRDefault="008326B3">
      <w:pPr>
        <w:spacing w:before="300" w:after="300" w:line="240" w:lineRule="auto"/>
        <w:jc w:val="both"/>
        <w:rPr>
          <w:rFonts w:ascii="Arial" w:eastAsia="Arial" w:hAnsi="Arial" w:cs="Arial"/>
          <w:sz w:val="24"/>
          <w:szCs w:val="24"/>
        </w:rPr>
      </w:pPr>
      <w:r>
        <w:rPr>
          <w:rFonts w:ascii="Arial" w:eastAsia="Arial" w:hAnsi="Arial" w:cs="Arial"/>
          <w:sz w:val="24"/>
          <w:szCs w:val="24"/>
        </w:rPr>
        <w:t>Sin perjuicio de lo anterior, los contrato</w:t>
      </w:r>
      <w:r>
        <w:rPr>
          <w:rFonts w:ascii="Arial" w:eastAsia="Arial" w:hAnsi="Arial" w:cs="Arial"/>
          <w:sz w:val="24"/>
          <w:szCs w:val="24"/>
        </w:rPr>
        <w:t>s mediante los cuales se formalicen los financiamientos estarán vigentes mientras existan obligaciones pendientes de pago a favor de los acreedores derivadas de los financiamientos.</w:t>
      </w:r>
    </w:p>
    <w:p w:rsidR="00E011D9" w:rsidRDefault="008326B3">
      <w:pPr>
        <w:pBdr>
          <w:top w:val="nil"/>
          <w:left w:val="nil"/>
          <w:bottom w:val="nil"/>
          <w:right w:val="nil"/>
          <w:between w:val="nil"/>
        </w:pBdr>
        <w:spacing w:before="300" w:after="300" w:line="240" w:lineRule="auto"/>
        <w:rPr>
          <w:rFonts w:ascii="Arial" w:eastAsia="Arial" w:hAnsi="Arial" w:cs="Arial"/>
          <w:b/>
          <w:color w:val="000000"/>
          <w:sz w:val="24"/>
          <w:szCs w:val="24"/>
        </w:rPr>
      </w:pPr>
      <w:r>
        <w:rPr>
          <w:rFonts w:ascii="Arial" w:eastAsia="Arial" w:hAnsi="Arial" w:cs="Arial"/>
          <w:b/>
          <w:color w:val="000000"/>
          <w:sz w:val="24"/>
          <w:szCs w:val="24"/>
        </w:rPr>
        <w:t>Artículo 7. Suscripción de los instrumentos jurídicos</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Se autoriza a los mu</w:t>
      </w:r>
      <w:r>
        <w:rPr>
          <w:rFonts w:ascii="Arial" w:eastAsia="Arial" w:hAnsi="Arial" w:cs="Arial"/>
          <w:color w:val="000000"/>
          <w:sz w:val="24"/>
          <w:szCs w:val="24"/>
        </w:rPr>
        <w:t>nicipios enlistados en el artículo 1, a través del presidente municipal, síndico municipal, secretario municipal y tesorero municipal, como funcionarios legalmente facultados del Ayuntamiento, sin detrimento de las atribuciones que les son propias, a que r</w:t>
      </w:r>
      <w:r>
        <w:rPr>
          <w:rFonts w:ascii="Arial" w:eastAsia="Arial" w:hAnsi="Arial" w:cs="Arial"/>
          <w:color w:val="000000"/>
          <w:sz w:val="24"/>
          <w:szCs w:val="24"/>
        </w:rPr>
        <w:t>ealicen todas las gestiones, negociaciones, solicitudes y trámites necesarios para que celebren los contratos, convenios o cualquier instrumento legal que se requiera con objeto de formalizar los créditos o financiamientos que decidan individualmente contr</w:t>
      </w:r>
      <w:r>
        <w:rPr>
          <w:rFonts w:ascii="Arial" w:eastAsia="Arial" w:hAnsi="Arial" w:cs="Arial"/>
          <w:color w:val="000000"/>
          <w:sz w:val="24"/>
          <w:szCs w:val="24"/>
        </w:rPr>
        <w:t xml:space="preserve">atar con base en el presente decreto, así como para constituir, modificar o adherirse, según corresponda al mecanismo de pago del o los créditos o financiamientos que contraten, y para que suscriban todos los actos jurídicos necesarios o convenientes para </w:t>
      </w:r>
      <w:r>
        <w:rPr>
          <w:rFonts w:ascii="Arial" w:eastAsia="Arial" w:hAnsi="Arial" w:cs="Arial"/>
          <w:color w:val="000000"/>
          <w:sz w:val="24"/>
          <w:szCs w:val="24"/>
        </w:rPr>
        <w:t>cumplir con las disposiciones del presente decreto o con lo pactado en los contratos que con base en este se celebren, como son, de manera enunciativa pero no limitativa, realizar notificaciones o instrucciones irrevocables, presentar avisos o información,</w:t>
      </w:r>
      <w:r>
        <w:rPr>
          <w:rFonts w:ascii="Arial" w:eastAsia="Arial" w:hAnsi="Arial" w:cs="Arial"/>
          <w:color w:val="000000"/>
          <w:sz w:val="24"/>
          <w:szCs w:val="24"/>
        </w:rPr>
        <w:t xml:space="preserve"> modificar instrucciones anteriores, solicitar inscripciones en registros de deuda o fiduciarios, entre otras.</w:t>
      </w:r>
    </w:p>
    <w:p w:rsidR="00E011D9" w:rsidRDefault="008326B3">
      <w:pPr>
        <w:spacing w:before="300" w:after="300" w:line="240" w:lineRule="auto"/>
        <w:jc w:val="both"/>
        <w:rPr>
          <w:rFonts w:ascii="Arial" w:eastAsia="Arial" w:hAnsi="Arial" w:cs="Arial"/>
          <w:b/>
          <w:sz w:val="24"/>
          <w:szCs w:val="24"/>
        </w:rPr>
      </w:pPr>
      <w:r>
        <w:rPr>
          <w:rFonts w:ascii="Arial" w:eastAsia="Arial" w:hAnsi="Arial" w:cs="Arial"/>
          <w:b/>
          <w:sz w:val="24"/>
          <w:szCs w:val="24"/>
        </w:rPr>
        <w:t>Artículo 8. Afectación de aportaciones</w:t>
      </w:r>
    </w:p>
    <w:p w:rsidR="00E011D9" w:rsidRDefault="008326B3">
      <w:pPr>
        <w:spacing w:before="300" w:after="300" w:line="240" w:lineRule="auto"/>
        <w:jc w:val="both"/>
        <w:rPr>
          <w:rFonts w:ascii="Arial" w:eastAsia="Arial" w:hAnsi="Arial" w:cs="Arial"/>
          <w:sz w:val="24"/>
          <w:szCs w:val="24"/>
        </w:rPr>
      </w:pPr>
      <w:r>
        <w:rPr>
          <w:rFonts w:ascii="Arial" w:eastAsia="Arial" w:hAnsi="Arial" w:cs="Arial"/>
          <w:sz w:val="24"/>
          <w:szCs w:val="24"/>
        </w:rPr>
        <w:t>Se autoriza a los municipios referidos en el artículo 1, a través del presidente municipal, síndico munici</w:t>
      </w:r>
      <w:r>
        <w:rPr>
          <w:rFonts w:ascii="Arial" w:eastAsia="Arial" w:hAnsi="Arial" w:cs="Arial"/>
          <w:sz w:val="24"/>
          <w:szCs w:val="24"/>
        </w:rPr>
        <w:t>pal, secretario municipal y tesorero municipal, como funcionarios legalmente facultados del Ayuntamiento, para que en términos de ley, individualmente afecten como fuente de pago del o los financiamientos que contraten y dispongan con base en el presente d</w:t>
      </w:r>
      <w:r>
        <w:rPr>
          <w:rFonts w:ascii="Arial" w:eastAsia="Arial" w:hAnsi="Arial" w:cs="Arial"/>
          <w:sz w:val="24"/>
          <w:szCs w:val="24"/>
        </w:rPr>
        <w:t xml:space="preserve">ecreto, incluidos el pago de capital, comisiones, intereses y accesorios y cualquier otro concepto relacionado con el o </w:t>
      </w:r>
      <w:r>
        <w:rPr>
          <w:rFonts w:ascii="Arial" w:eastAsia="Arial" w:hAnsi="Arial" w:cs="Arial"/>
          <w:sz w:val="24"/>
          <w:szCs w:val="24"/>
        </w:rPr>
        <w:lastRenderedPageBreak/>
        <w:t xml:space="preserve">los financiamientos de que se trate, hasta el 25% del derecho a recibir y los ingresos que anual e individualmente les correspondan del </w:t>
      </w:r>
      <w:r>
        <w:rPr>
          <w:rFonts w:ascii="Arial" w:eastAsia="Arial" w:hAnsi="Arial" w:cs="Arial"/>
          <w:sz w:val="24"/>
          <w:szCs w:val="24"/>
        </w:rPr>
        <w:t>Fondo de Aportaciones para la Infraestructura Social Municipal y de las Demarcaciones Territoriales del Distrito Federal, como fuente de pago de todas y cada una de las obligaciones que se contraigan con motivo de la autorización a que se refiere este decr</w:t>
      </w:r>
      <w:r>
        <w:rPr>
          <w:rFonts w:ascii="Arial" w:eastAsia="Arial" w:hAnsi="Arial" w:cs="Arial"/>
          <w:sz w:val="24"/>
          <w:szCs w:val="24"/>
        </w:rPr>
        <w:t>eto, incluidos el pago de capital, intereses, comisiones, accesorios y cualquier otro concepto asociado al financiamiento, así como de aquellos que, en su caso, los reemplacen, sustituyan o complementen o de cualquier otro fondo que los sustituya o complem</w:t>
      </w:r>
      <w:r>
        <w:rPr>
          <w:rFonts w:ascii="Arial" w:eastAsia="Arial" w:hAnsi="Arial" w:cs="Arial"/>
          <w:sz w:val="24"/>
          <w:szCs w:val="24"/>
        </w:rPr>
        <w:t>ente de tiempo en tiempo, respectivamente y conforme al marco jurídico vigente, en la inteligencia de que, en tanto se encuentren vigentes el o los financiamientos contratados o existan obligaciones o cantidades pendientes de pago, los municipios referidos</w:t>
      </w:r>
      <w:r>
        <w:rPr>
          <w:rFonts w:ascii="Arial" w:eastAsia="Arial" w:hAnsi="Arial" w:cs="Arial"/>
          <w:sz w:val="24"/>
          <w:szCs w:val="24"/>
        </w:rPr>
        <w:t xml:space="preserve"> podrán destinar para el pago del servicio de la deuda a su cargo, la cantidad que resulte mayor entre aplicar el 25% (veinticinco por ciento) a los ingresos del Fondo de Aportaciones para la Infraestructura Social Municipal y de las Demarcaciones Territor</w:t>
      </w:r>
      <w:r>
        <w:rPr>
          <w:rFonts w:ascii="Arial" w:eastAsia="Arial" w:hAnsi="Arial" w:cs="Arial"/>
          <w:sz w:val="24"/>
          <w:szCs w:val="24"/>
        </w:rPr>
        <w:t>iales del Distrito Federal que les corresponda recibir en el ejercicio fiscal que se encuentre transcurriendo, o bien, en el año en que el financiamiento de que se trate hubiere sido contratado, en términos de lo que dispone el artículo 50 de la Ley de Coo</w:t>
      </w:r>
      <w:r>
        <w:rPr>
          <w:rFonts w:ascii="Arial" w:eastAsia="Arial" w:hAnsi="Arial" w:cs="Arial"/>
          <w:sz w:val="24"/>
          <w:szCs w:val="24"/>
        </w:rPr>
        <w:t>rdinación Fiscal, la fracción VIII Quáter del artículo 30 de la Constitución Política del Estado Libre y Soberano de Yucatán, así como el artículo 9 Ter de la Ley de Coordinación Fiscal del Estado de Yucatán.</w:t>
      </w:r>
    </w:p>
    <w:p w:rsidR="00E011D9" w:rsidRDefault="008326B3">
      <w:pPr>
        <w:spacing w:before="300" w:after="300" w:line="240" w:lineRule="auto"/>
        <w:jc w:val="both"/>
        <w:rPr>
          <w:rFonts w:ascii="Arial" w:eastAsia="Arial" w:hAnsi="Arial" w:cs="Arial"/>
          <w:sz w:val="24"/>
          <w:szCs w:val="24"/>
        </w:rPr>
      </w:pPr>
      <w:r>
        <w:rPr>
          <w:rFonts w:ascii="Arial" w:eastAsia="Arial" w:hAnsi="Arial" w:cs="Arial"/>
          <w:sz w:val="24"/>
          <w:szCs w:val="24"/>
        </w:rPr>
        <w:t xml:space="preserve">Dicha afectación deberá hacerse con apego a lo </w:t>
      </w:r>
      <w:r>
        <w:rPr>
          <w:rFonts w:ascii="Arial" w:eastAsia="Arial" w:hAnsi="Arial" w:cs="Arial"/>
          <w:sz w:val="24"/>
          <w:szCs w:val="24"/>
        </w:rPr>
        <w:t>establecido en el presente decreto, la Ley de Deuda Pública del Estado de Yucatán, la Ley de Coordinación Fiscal y la demás legislación y normativa aplicables.</w:t>
      </w:r>
    </w:p>
    <w:p w:rsidR="00E011D9" w:rsidRDefault="008326B3">
      <w:pPr>
        <w:spacing w:before="300" w:after="300" w:line="240" w:lineRule="auto"/>
        <w:jc w:val="both"/>
        <w:rPr>
          <w:rFonts w:ascii="Arial" w:eastAsia="Arial" w:hAnsi="Arial" w:cs="Arial"/>
          <w:sz w:val="24"/>
          <w:szCs w:val="24"/>
        </w:rPr>
      </w:pPr>
      <w:r>
        <w:rPr>
          <w:rFonts w:ascii="Arial" w:eastAsia="Arial" w:hAnsi="Arial" w:cs="Arial"/>
          <w:sz w:val="24"/>
          <w:szCs w:val="24"/>
        </w:rPr>
        <w:t>La afectación de los ingresos y derechos a recibir y los ingresos que anual e individualmente le</w:t>
      </w:r>
      <w:r>
        <w:rPr>
          <w:rFonts w:ascii="Arial" w:eastAsia="Arial" w:hAnsi="Arial" w:cs="Arial"/>
          <w:sz w:val="24"/>
          <w:szCs w:val="24"/>
        </w:rPr>
        <w:t>s correspondan a cada uno de los municipios de Tekax y Tinum, derivados del Fondo de Aportaciones para la Infraestructura Social Municipal y de las Demarcaciones Territoriales del Distrito Federal a que se refiere este artículo, podrá formalizarse mediante</w:t>
      </w:r>
      <w:r>
        <w:rPr>
          <w:rFonts w:ascii="Arial" w:eastAsia="Arial" w:hAnsi="Arial" w:cs="Arial"/>
          <w:sz w:val="24"/>
          <w:szCs w:val="24"/>
        </w:rPr>
        <w:t xml:space="preserve"> la constitución de uno o varios fideicomisos irrevocables de administración y fuente de pago; o los convenios necesarios para adherirse a un fideicomiso irrevocable de administración y fuente de pago previamente constituido, o bien, a través de uno o vari</w:t>
      </w:r>
      <w:r>
        <w:rPr>
          <w:rFonts w:ascii="Arial" w:eastAsia="Arial" w:hAnsi="Arial" w:cs="Arial"/>
          <w:sz w:val="24"/>
          <w:szCs w:val="24"/>
        </w:rPr>
        <w:t>os contratos de mandato especial irrevocable para actos de dominio que celebren cada uno de los municipios como mandante, con la Secretaría de Administración y Finanzas del Poder Ejecutivo del Estado de Yucatán como mandatario.</w:t>
      </w:r>
    </w:p>
    <w:p w:rsidR="00E011D9" w:rsidRDefault="008326B3">
      <w:pPr>
        <w:spacing w:before="300" w:after="300" w:line="240" w:lineRule="auto"/>
        <w:jc w:val="both"/>
        <w:rPr>
          <w:rFonts w:ascii="Arial" w:eastAsia="Arial" w:hAnsi="Arial" w:cs="Arial"/>
          <w:sz w:val="24"/>
          <w:szCs w:val="24"/>
        </w:rPr>
      </w:pPr>
      <w:r>
        <w:rPr>
          <w:rFonts w:ascii="Arial" w:eastAsia="Arial" w:hAnsi="Arial" w:cs="Arial"/>
          <w:sz w:val="24"/>
          <w:szCs w:val="24"/>
        </w:rPr>
        <w:t>En todo caso, el o los fidei</w:t>
      </w:r>
      <w:r>
        <w:rPr>
          <w:rFonts w:ascii="Arial" w:eastAsia="Arial" w:hAnsi="Arial" w:cs="Arial"/>
          <w:sz w:val="24"/>
          <w:szCs w:val="24"/>
        </w:rPr>
        <w:t xml:space="preserve">comisos constituidos al amparo de la presente autorización no serán considerados entidad paraestatal, por lo que no constituirán parte de la Administración Pública paraestatal. Lo anterior, conforme a lo </w:t>
      </w:r>
      <w:r>
        <w:rPr>
          <w:rFonts w:ascii="Arial" w:eastAsia="Arial" w:hAnsi="Arial" w:cs="Arial"/>
          <w:sz w:val="24"/>
          <w:szCs w:val="24"/>
        </w:rPr>
        <w:lastRenderedPageBreak/>
        <w:t>establecido en el artículo 7, fracción VI, de la Ley</w:t>
      </w:r>
      <w:r>
        <w:rPr>
          <w:rFonts w:ascii="Arial" w:eastAsia="Arial" w:hAnsi="Arial" w:cs="Arial"/>
          <w:sz w:val="24"/>
          <w:szCs w:val="24"/>
        </w:rPr>
        <w:t xml:space="preserve"> de Deuda Pública del Estado de Yucatán.</w:t>
      </w:r>
    </w:p>
    <w:p w:rsidR="00E011D9" w:rsidRDefault="008326B3">
      <w:pPr>
        <w:pBdr>
          <w:top w:val="nil"/>
          <w:left w:val="nil"/>
          <w:bottom w:val="nil"/>
          <w:right w:val="nil"/>
          <w:between w:val="nil"/>
        </w:pBdr>
        <w:spacing w:before="300" w:after="300" w:line="240" w:lineRule="auto"/>
        <w:rPr>
          <w:rFonts w:ascii="Arial" w:eastAsia="Arial" w:hAnsi="Arial" w:cs="Arial"/>
          <w:color w:val="000000"/>
          <w:sz w:val="24"/>
          <w:szCs w:val="24"/>
        </w:rPr>
      </w:pPr>
      <w:r>
        <w:rPr>
          <w:rFonts w:ascii="Arial" w:eastAsia="Arial" w:hAnsi="Arial" w:cs="Arial"/>
          <w:b/>
          <w:color w:val="000000"/>
          <w:sz w:val="24"/>
          <w:szCs w:val="24"/>
        </w:rPr>
        <w:t xml:space="preserve">Artículo 9. Fideicomiso </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El mecanismo de pago de las obligaciones que adquieran los municipios de Tekax y Tinum, podrá formalizarse mediante la constitución de un fideicomiso irrevocable de administración y fuente d</w:t>
      </w:r>
      <w:r>
        <w:rPr>
          <w:rFonts w:ascii="Arial" w:eastAsia="Arial" w:hAnsi="Arial" w:cs="Arial"/>
          <w:color w:val="000000"/>
          <w:sz w:val="24"/>
          <w:szCs w:val="24"/>
        </w:rPr>
        <w:t xml:space="preserve">e pago. </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En cualquier caso, el fideicomiso que se constituya, tendrá entre sus fines, al menos:</w:t>
      </w:r>
    </w:p>
    <w:p w:rsidR="00E011D9" w:rsidRDefault="008326B3">
      <w:pPr>
        <w:spacing w:before="300" w:after="300" w:line="240" w:lineRule="auto"/>
        <w:ind w:firstLine="709"/>
        <w:jc w:val="both"/>
        <w:rPr>
          <w:rFonts w:ascii="Arial" w:eastAsia="Arial" w:hAnsi="Arial" w:cs="Arial"/>
          <w:sz w:val="24"/>
          <w:szCs w:val="24"/>
        </w:rPr>
      </w:pPr>
      <w:r>
        <w:rPr>
          <w:rFonts w:ascii="Arial" w:eastAsia="Arial" w:hAnsi="Arial" w:cs="Arial"/>
          <w:sz w:val="24"/>
          <w:szCs w:val="24"/>
        </w:rPr>
        <w:t>I. Captar la totalidad de los recursos provenientes del Fondo de Aportaciones para la Infraestructura Social Municipal y de las Demarcaciones Territoriales del Distrito Federal, según le correspondan a los municipios referidos en el artículo 1 y que periód</w:t>
      </w:r>
      <w:r>
        <w:rPr>
          <w:rFonts w:ascii="Arial" w:eastAsia="Arial" w:hAnsi="Arial" w:cs="Arial"/>
          <w:sz w:val="24"/>
          <w:szCs w:val="24"/>
        </w:rPr>
        <w:t>icamente le sean trasferidos por la Secretaría de Hacienda y Crédito Público, a través de la Tesorería de la Federación, o el área o unidad administrativa facultada para tal efecto.</w:t>
      </w:r>
    </w:p>
    <w:p w:rsidR="00E011D9" w:rsidRDefault="008326B3">
      <w:pPr>
        <w:pBdr>
          <w:top w:val="nil"/>
          <w:left w:val="nil"/>
          <w:bottom w:val="nil"/>
          <w:right w:val="nil"/>
          <w:between w:val="nil"/>
        </w:pBdr>
        <w:spacing w:before="300" w:after="30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Servir como mecanismo de pago del o los financiamientos que los municipios de Tekax y Tinum contraten con base en lo que se autoriza en este decreto.</w:t>
      </w:r>
    </w:p>
    <w:p w:rsidR="00E011D9" w:rsidRDefault="008326B3">
      <w:pPr>
        <w:pBdr>
          <w:top w:val="nil"/>
          <w:left w:val="nil"/>
          <w:bottom w:val="nil"/>
          <w:right w:val="nil"/>
          <w:between w:val="nil"/>
        </w:pBdr>
        <w:spacing w:before="300" w:after="30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Fungir como medio para facilitar la entrega a la Secretaría de Administración y Finanzas del Pode</w:t>
      </w:r>
      <w:r>
        <w:rPr>
          <w:rFonts w:ascii="Arial" w:eastAsia="Arial" w:hAnsi="Arial" w:cs="Arial"/>
          <w:color w:val="000000"/>
          <w:sz w:val="24"/>
          <w:szCs w:val="24"/>
        </w:rPr>
        <w:t>r Ejecutivo del Estado de Yucatán de los recursos no afectados del Fondo de Aportaciones para la Infraestructura Social Municipal y de las Demarcaciones Territoriales del Distrito Federal, para que esta a su vez se los entregue dentro del plazo que estable</w:t>
      </w:r>
      <w:r>
        <w:rPr>
          <w:rFonts w:ascii="Arial" w:eastAsia="Arial" w:hAnsi="Arial" w:cs="Arial"/>
          <w:color w:val="000000"/>
          <w:sz w:val="24"/>
          <w:szCs w:val="24"/>
        </w:rPr>
        <w:t xml:space="preserve">ce la legislación aplicable o, en su defecto, les haga llegar las cantidades remanentes que, en su caso, existan a favor de los municipios referidos en el artículo 1 que decidan adherirse al fideicomiso. </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El fideicomiso que se constituya en términos del pr</w:t>
      </w:r>
      <w:r>
        <w:rPr>
          <w:rFonts w:ascii="Arial" w:eastAsia="Arial" w:hAnsi="Arial" w:cs="Arial"/>
          <w:color w:val="000000"/>
          <w:sz w:val="24"/>
          <w:szCs w:val="24"/>
        </w:rPr>
        <w:t xml:space="preserve">esente artículo únicamente podrá modificarse o extinguirse con el consentimiento previo y por escrito de los fideicomisarios en primer lugar y tendrá el carácter de irrevocable en tanto existan obligaciones de pago vigentes inscritas en él. </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afectación </w:t>
      </w:r>
      <w:r>
        <w:rPr>
          <w:rFonts w:ascii="Arial" w:eastAsia="Arial" w:hAnsi="Arial" w:cs="Arial"/>
          <w:color w:val="000000"/>
          <w:sz w:val="24"/>
          <w:szCs w:val="24"/>
        </w:rPr>
        <w:t>de los recursos del Fondo de Aportaciones para la Infraestructura Social Municipal y de las Demarcaciones Territoriales del Distrito Federal en el fideicomiso constituido como mecanismo de pago cesará previa conformidad por escrito del o los fideicomisario</w:t>
      </w:r>
      <w:r>
        <w:rPr>
          <w:rFonts w:ascii="Arial" w:eastAsia="Arial" w:hAnsi="Arial" w:cs="Arial"/>
          <w:color w:val="000000"/>
          <w:sz w:val="24"/>
          <w:szCs w:val="24"/>
        </w:rPr>
        <w:t xml:space="preserve">s en primer lugar, una vez que se encuentren </w:t>
      </w:r>
      <w:r>
        <w:rPr>
          <w:rFonts w:ascii="Arial" w:eastAsia="Arial" w:hAnsi="Arial" w:cs="Arial"/>
          <w:color w:val="000000"/>
          <w:sz w:val="24"/>
          <w:szCs w:val="24"/>
        </w:rPr>
        <w:lastRenderedPageBreak/>
        <w:t>liquidadas en su totalidad las obligaciones de pago a cargo de los municipios del estado de Yucatán referidos en el artículo 1, sin detrimento de que el fideicomiso pueda seguir funcionando u operando como mecan</w:t>
      </w:r>
      <w:r>
        <w:rPr>
          <w:rFonts w:ascii="Arial" w:eastAsia="Arial" w:hAnsi="Arial" w:cs="Arial"/>
          <w:color w:val="000000"/>
          <w:sz w:val="24"/>
          <w:szCs w:val="24"/>
        </w:rPr>
        <w:t xml:space="preserve">ismo de captación y administración de los recursos que deriven del Fondo de Aportaciones para la Infraestructura Social. </w:t>
      </w:r>
    </w:p>
    <w:p w:rsidR="00E011D9" w:rsidRDefault="008326B3">
      <w:pPr>
        <w:spacing w:before="300" w:after="300" w:line="240" w:lineRule="auto"/>
        <w:jc w:val="both"/>
        <w:rPr>
          <w:rFonts w:ascii="Arial" w:eastAsia="Arial" w:hAnsi="Arial" w:cs="Arial"/>
          <w:sz w:val="24"/>
          <w:szCs w:val="24"/>
        </w:rPr>
      </w:pPr>
      <w:r>
        <w:rPr>
          <w:rFonts w:ascii="Arial" w:eastAsia="Arial" w:hAnsi="Arial" w:cs="Arial"/>
          <w:sz w:val="24"/>
          <w:szCs w:val="24"/>
        </w:rPr>
        <w:t>Se autoriza a los municipios del estado de Yucatán enlistados en el artículo 1 para que, a través del presidente municipal, síndico mu</w:t>
      </w:r>
      <w:r>
        <w:rPr>
          <w:rFonts w:ascii="Arial" w:eastAsia="Arial" w:hAnsi="Arial" w:cs="Arial"/>
          <w:sz w:val="24"/>
          <w:szCs w:val="24"/>
        </w:rPr>
        <w:t>nicipal, secretario municipal y tesorero municipal, como funcionarios legalmente facultados del Ayuntamiento y previa autorización de sus respectivos cabildos, celebren, en lo individual, el o los convenios que se requieran para adherirse al fideicomiso ir</w:t>
      </w:r>
      <w:r>
        <w:rPr>
          <w:rFonts w:ascii="Arial" w:eastAsia="Arial" w:hAnsi="Arial" w:cs="Arial"/>
          <w:sz w:val="24"/>
          <w:szCs w:val="24"/>
        </w:rPr>
        <w:t>revocable de administración y fuente de pago que, en su caso, se constituya para instrumentar el mecanismo de pago de los financiamientos que cada uno de ellos contrate con base en la presente autorización.</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Los municipios del estado de Yucatán referidos en</w:t>
      </w:r>
      <w:r>
        <w:rPr>
          <w:rFonts w:ascii="Arial" w:eastAsia="Arial" w:hAnsi="Arial" w:cs="Arial"/>
          <w:color w:val="000000"/>
          <w:sz w:val="24"/>
          <w:szCs w:val="24"/>
        </w:rPr>
        <w:t xml:space="preserve"> el artículo 1 deberán abstenerse de realizar cualquier acción tendiente a revertir la afectación de hasta el 25% del derecho a recibir y los ingresos que anual e individualmente les correspondan del Fondo de Aportaciones para la Infraestructura Social Mun</w:t>
      </w:r>
      <w:r>
        <w:rPr>
          <w:rFonts w:ascii="Arial" w:eastAsia="Arial" w:hAnsi="Arial" w:cs="Arial"/>
          <w:color w:val="000000"/>
          <w:sz w:val="24"/>
          <w:szCs w:val="24"/>
        </w:rPr>
        <w:t>icipal y de las Demarcaciones Territoriales del Distrito Federal que otorguen como fuente de pago del o los financiamientos que contraten con base en la presente autorización, en tanto existan adeudos a sus respectivos cargos que deriven del o los financia</w:t>
      </w:r>
      <w:r>
        <w:rPr>
          <w:rFonts w:ascii="Arial" w:eastAsia="Arial" w:hAnsi="Arial" w:cs="Arial"/>
          <w:color w:val="000000"/>
          <w:sz w:val="24"/>
          <w:szCs w:val="24"/>
        </w:rPr>
        <w:t>mientos; en tal virtud, la revocación de la afectación únicamente procederá cuando se cuente con autorización previa y por escrito emitida por representante legalmente facultado de la institución acreditante.</w:t>
      </w:r>
    </w:p>
    <w:p w:rsidR="00E011D9" w:rsidRDefault="008326B3">
      <w:pPr>
        <w:pBdr>
          <w:top w:val="nil"/>
          <w:left w:val="nil"/>
          <w:bottom w:val="nil"/>
          <w:right w:val="nil"/>
          <w:between w:val="nil"/>
        </w:pBdr>
        <w:spacing w:before="300" w:after="300" w:line="240" w:lineRule="auto"/>
        <w:rPr>
          <w:rFonts w:ascii="Arial" w:eastAsia="Arial" w:hAnsi="Arial" w:cs="Arial"/>
          <w:color w:val="000000"/>
          <w:sz w:val="24"/>
          <w:szCs w:val="24"/>
        </w:rPr>
      </w:pPr>
      <w:r>
        <w:rPr>
          <w:rFonts w:ascii="Arial" w:eastAsia="Arial" w:hAnsi="Arial" w:cs="Arial"/>
          <w:b/>
          <w:color w:val="000000"/>
          <w:sz w:val="24"/>
          <w:szCs w:val="24"/>
        </w:rPr>
        <w:t xml:space="preserve">Artículo 10. Notificación a la Secretaría de Hacienda y Crédito Público </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Para asegurar la viabilidad de la estructura de los financiamientos cuyo mecanismo de pago sea a través de fideicomiso, de conformidad con lo establecido en la fracción IX del artícul</w:t>
      </w:r>
      <w:r>
        <w:rPr>
          <w:rFonts w:ascii="Arial" w:eastAsia="Arial" w:hAnsi="Arial" w:cs="Arial"/>
          <w:color w:val="000000"/>
          <w:sz w:val="24"/>
          <w:szCs w:val="24"/>
        </w:rPr>
        <w:t>o 7 de la Ley de Deuda Pública del Estado de Yucatán, la Secretaría de Administración y Finanzas notificará a la Secretaría de Hacienda y Crédito Público, la afectación de aportaciones federales aprobada en este decreto, solicitando que respecto a cada min</w:t>
      </w:r>
      <w:r>
        <w:rPr>
          <w:rFonts w:ascii="Arial" w:eastAsia="Arial" w:hAnsi="Arial" w:cs="Arial"/>
          <w:color w:val="000000"/>
          <w:sz w:val="24"/>
          <w:szCs w:val="24"/>
        </w:rPr>
        <w:t>istración, entrega, anticipo, entero o ajuste de los recursos que procedan de las aportaciones del Fondo de Aportaciones para la Infraestructura Social Municipal y de las Demarcaciones Territoriales del Distrito Federal de los municipios que contraten fina</w:t>
      </w:r>
      <w:r>
        <w:rPr>
          <w:rFonts w:ascii="Arial" w:eastAsia="Arial" w:hAnsi="Arial" w:cs="Arial"/>
          <w:color w:val="000000"/>
          <w:sz w:val="24"/>
          <w:szCs w:val="24"/>
        </w:rPr>
        <w:t>nciamientos en términos de este decreto, se abonen en la cuenta del fideicomiso correspondiente hasta el pago total de los financiamientos contratados, de conformidad con este decreto, sin detrimento de que el fideicomiso constituido pueda seguir funcionan</w:t>
      </w:r>
      <w:r>
        <w:rPr>
          <w:rFonts w:ascii="Arial" w:eastAsia="Arial" w:hAnsi="Arial" w:cs="Arial"/>
          <w:color w:val="000000"/>
          <w:sz w:val="24"/>
          <w:szCs w:val="24"/>
        </w:rPr>
        <w:t xml:space="preserve">do u operando como mecanismo de captación y administración de dichos recursos. </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Dicha instrucción solo podrá ser modificada, siempre y cuando se hayan cumplido los requisitos señalados en los instrumentos o actos jurídicos mediante los cuales se formalice </w:t>
      </w:r>
      <w:r>
        <w:rPr>
          <w:rFonts w:ascii="Arial" w:eastAsia="Arial" w:hAnsi="Arial" w:cs="Arial"/>
          <w:color w:val="000000"/>
          <w:sz w:val="24"/>
          <w:szCs w:val="24"/>
        </w:rPr>
        <w:t xml:space="preserve">la operación de financiamiento, incluido el mecanismo de pago, siempre que no se afecten los derechos de los acreedores conforme a dichos contratos o documentos. </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11. Contrato de mandato especial irrevocable para actos de dominio </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Se autoriza a lo</w:t>
      </w:r>
      <w:r>
        <w:rPr>
          <w:rFonts w:ascii="Arial" w:eastAsia="Arial" w:hAnsi="Arial" w:cs="Arial"/>
          <w:color w:val="000000"/>
          <w:sz w:val="24"/>
          <w:szCs w:val="24"/>
        </w:rPr>
        <w:t>s municipios del estado de Yucatán previstos en el artículo 1 para que, en su caso, a través del presidente municipal, síndico municipal, secretario municipal y tesorero municipal, como funcionarios legalmente facultados del Ayuntamiento, individualmente c</w:t>
      </w:r>
      <w:r>
        <w:rPr>
          <w:rFonts w:ascii="Arial" w:eastAsia="Arial" w:hAnsi="Arial" w:cs="Arial"/>
          <w:color w:val="000000"/>
          <w:sz w:val="24"/>
          <w:szCs w:val="24"/>
        </w:rPr>
        <w:t>elebren un contrato de mandato especial irrevocable para actos de dominio, mediante el cual podrá formalizarse el mecanismo de pago de los financiamientos que individualmente contraten con sustento y en términos de lo que se autoriza en el presente decreto</w:t>
      </w:r>
      <w:r>
        <w:rPr>
          <w:rFonts w:ascii="Arial" w:eastAsia="Arial" w:hAnsi="Arial" w:cs="Arial"/>
          <w:color w:val="000000"/>
          <w:sz w:val="24"/>
          <w:szCs w:val="24"/>
        </w:rPr>
        <w:t>, que cumpla con las formalidades que la legislación aplicable establece para que se pacte con la Secretaría de Administración y Finanzas del Poder Ejecutivo del Estado de Yucatán, con el carácter de mandatario en nombre y por cuenta del municipio de que s</w:t>
      </w:r>
      <w:r>
        <w:rPr>
          <w:rFonts w:ascii="Arial" w:eastAsia="Arial" w:hAnsi="Arial" w:cs="Arial"/>
          <w:color w:val="000000"/>
          <w:sz w:val="24"/>
          <w:szCs w:val="24"/>
        </w:rPr>
        <w:t xml:space="preserve">e trate y con cargo a los recursos que procedan del Fondo de Aportaciones para la Infraestructura Social Municipal y de las Demarcaciones Territoriales del Distrito Federal que afecte cada municipio como fuente de pago, pague directamente a la institución </w:t>
      </w:r>
      <w:r>
        <w:rPr>
          <w:rFonts w:ascii="Arial" w:eastAsia="Arial" w:hAnsi="Arial" w:cs="Arial"/>
          <w:color w:val="000000"/>
          <w:sz w:val="24"/>
          <w:szCs w:val="24"/>
        </w:rPr>
        <w:t>acreditante las obligaciones a cargo del municipio que corresponda, que deriven del o los financiamientos que contrate con base en lo que se autoriza en el presente decreto.</w:t>
      </w:r>
    </w:p>
    <w:p w:rsidR="00E011D9" w:rsidRDefault="008326B3">
      <w:pPr>
        <w:pBdr>
          <w:top w:val="nil"/>
          <w:left w:val="nil"/>
          <w:bottom w:val="nil"/>
          <w:right w:val="nil"/>
          <w:between w:val="nil"/>
        </w:pBdr>
        <w:spacing w:before="300" w:after="300" w:line="240" w:lineRule="auto"/>
        <w:rPr>
          <w:rFonts w:ascii="Arial" w:eastAsia="Arial" w:hAnsi="Arial" w:cs="Arial"/>
          <w:color w:val="000000"/>
          <w:sz w:val="24"/>
          <w:szCs w:val="24"/>
        </w:rPr>
      </w:pPr>
      <w:r>
        <w:rPr>
          <w:rFonts w:ascii="Arial" w:eastAsia="Arial" w:hAnsi="Arial" w:cs="Arial"/>
          <w:b/>
          <w:color w:val="000000"/>
          <w:sz w:val="24"/>
          <w:szCs w:val="24"/>
        </w:rPr>
        <w:t xml:space="preserve">Artículo 12. Aprobación del ingreso </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Los municipios que, en ejercicio de la autori</w:t>
      </w:r>
      <w:r>
        <w:rPr>
          <w:rFonts w:ascii="Arial" w:eastAsia="Arial" w:hAnsi="Arial" w:cs="Arial"/>
          <w:color w:val="000000"/>
          <w:sz w:val="24"/>
          <w:szCs w:val="24"/>
        </w:rPr>
        <w:t>zación establecida en el presente decreto contraten financiamiento hasta por el monto máximo previsto en el artículo 2, deberán aprobar la correspondiente modificación a su ley de ingresos para el ejercicio fiscal 2022 a efecto de prever el ingreso extraor</w:t>
      </w:r>
      <w:r>
        <w:rPr>
          <w:rFonts w:ascii="Arial" w:eastAsia="Arial" w:hAnsi="Arial" w:cs="Arial"/>
          <w:color w:val="000000"/>
          <w:sz w:val="24"/>
          <w:szCs w:val="24"/>
        </w:rPr>
        <w:t xml:space="preserve">dinario por concepto de financiamiento y remitirla al Congreso del estado para su autorización. </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Para aquellos municipios que decidan contratar el financiamiento en el ejercicio fiscal 2023, deberán prever el ingreso en la iniciativa que remitan al Congres</w:t>
      </w:r>
      <w:r>
        <w:rPr>
          <w:rFonts w:ascii="Arial" w:eastAsia="Arial" w:hAnsi="Arial" w:cs="Arial"/>
          <w:color w:val="000000"/>
          <w:sz w:val="24"/>
          <w:szCs w:val="24"/>
        </w:rPr>
        <w:t>o del estado para aprobación en los plazos previstos en la Constitución Política del Estado Libre y Soberano de Yucatán; no obstante, de no considerarse en la iniciativa original, podrán en todo momento, durante ese ejercicio fiscal, solicitar la modificac</w:t>
      </w:r>
      <w:r>
        <w:rPr>
          <w:rFonts w:ascii="Arial" w:eastAsia="Arial" w:hAnsi="Arial" w:cs="Arial"/>
          <w:color w:val="000000"/>
          <w:sz w:val="24"/>
          <w:szCs w:val="24"/>
        </w:rPr>
        <w:t xml:space="preserve">ión correspondiente a la ley de ingresos para el ejercicio fiscal 2023. </w:t>
      </w:r>
    </w:p>
    <w:p w:rsidR="00E011D9" w:rsidRDefault="008326B3">
      <w:pPr>
        <w:pBdr>
          <w:top w:val="nil"/>
          <w:left w:val="nil"/>
          <w:bottom w:val="nil"/>
          <w:right w:val="nil"/>
          <w:between w:val="nil"/>
        </w:pBdr>
        <w:spacing w:before="300" w:after="300" w:line="240" w:lineRule="auto"/>
        <w:rPr>
          <w:rFonts w:ascii="Arial" w:eastAsia="Arial" w:hAnsi="Arial" w:cs="Arial"/>
          <w:color w:val="000000"/>
          <w:sz w:val="24"/>
          <w:szCs w:val="24"/>
        </w:rPr>
      </w:pPr>
      <w:r>
        <w:rPr>
          <w:rFonts w:ascii="Arial" w:eastAsia="Arial" w:hAnsi="Arial" w:cs="Arial"/>
          <w:b/>
          <w:color w:val="000000"/>
          <w:sz w:val="24"/>
          <w:szCs w:val="24"/>
        </w:rPr>
        <w:t xml:space="preserve">Artículo 13. Previsiones presupuestarias </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Los municipios del estado de Yucatán que contraten uno o más financiamientos con base en este decreto, ajustarán o modificarán el presupuesto</w:t>
      </w:r>
      <w:r>
        <w:rPr>
          <w:rFonts w:ascii="Arial" w:eastAsia="Arial" w:hAnsi="Arial" w:cs="Arial"/>
          <w:color w:val="000000"/>
          <w:sz w:val="24"/>
          <w:szCs w:val="24"/>
        </w:rPr>
        <w:t xml:space="preserve"> de egresos del ejercicio fiscal 2022 o 2023, según corresponda, para considerar el importe que permita realizar las erogaciones para el pago del servicio de la deuda a su respectivo cargo, que derive del o los créditos contratados, e informarán del ingres</w:t>
      </w:r>
      <w:r>
        <w:rPr>
          <w:rFonts w:ascii="Arial" w:eastAsia="Arial" w:hAnsi="Arial" w:cs="Arial"/>
          <w:color w:val="000000"/>
          <w:sz w:val="24"/>
          <w:szCs w:val="24"/>
        </w:rPr>
        <w:t xml:space="preserve">o y su aplicación al rendir la cuenta pública. </w:t>
      </w:r>
    </w:p>
    <w:p w:rsidR="00E011D9" w:rsidRDefault="008326B3">
      <w:pPr>
        <w:spacing w:before="300" w:after="300" w:line="240" w:lineRule="auto"/>
        <w:jc w:val="both"/>
        <w:rPr>
          <w:rFonts w:ascii="Arial" w:eastAsia="Arial" w:hAnsi="Arial" w:cs="Arial"/>
          <w:sz w:val="24"/>
          <w:szCs w:val="24"/>
        </w:rPr>
      </w:pPr>
      <w:r>
        <w:rPr>
          <w:rFonts w:ascii="Arial" w:eastAsia="Arial" w:hAnsi="Arial" w:cs="Arial"/>
          <w:sz w:val="24"/>
          <w:szCs w:val="24"/>
        </w:rPr>
        <w:t>Los municipios del estado de Yucatán, según corresponda, deberán prever anualmente en su presupuesto de egresos, en tanto existan obligaciones pendientes de pago a sus respectivos cargos que deriven del o los</w:t>
      </w:r>
      <w:r>
        <w:rPr>
          <w:rFonts w:ascii="Arial" w:eastAsia="Arial" w:hAnsi="Arial" w:cs="Arial"/>
          <w:sz w:val="24"/>
          <w:szCs w:val="24"/>
        </w:rPr>
        <w:t xml:space="preserve"> financiamientos que individualmente contraten con base en el presente decreto, el importe o partida que permita realizar las erogaciones para el pago del servicio de la deuda en cada ejercicio fiscal, hasta la total liquidación del o los créditos contrata</w:t>
      </w:r>
      <w:r>
        <w:rPr>
          <w:rFonts w:ascii="Arial" w:eastAsia="Arial" w:hAnsi="Arial" w:cs="Arial"/>
          <w:sz w:val="24"/>
          <w:szCs w:val="24"/>
        </w:rPr>
        <w:t>dos.</w:t>
      </w:r>
    </w:p>
    <w:p w:rsidR="00E011D9" w:rsidRDefault="008326B3">
      <w:pPr>
        <w:spacing w:before="300" w:after="300" w:line="240" w:lineRule="auto"/>
        <w:jc w:val="both"/>
        <w:rPr>
          <w:rFonts w:ascii="Arial" w:eastAsia="Arial" w:hAnsi="Arial" w:cs="Arial"/>
          <w:b/>
          <w:sz w:val="24"/>
          <w:szCs w:val="24"/>
        </w:rPr>
      </w:pPr>
      <w:r>
        <w:rPr>
          <w:rFonts w:ascii="Arial" w:eastAsia="Arial" w:hAnsi="Arial" w:cs="Arial"/>
          <w:b/>
          <w:sz w:val="24"/>
          <w:szCs w:val="24"/>
        </w:rPr>
        <w:t>Artículo 14. Legislación y normativa</w:t>
      </w:r>
    </w:p>
    <w:p w:rsidR="00E011D9" w:rsidRDefault="008326B3">
      <w:pPr>
        <w:spacing w:before="300" w:after="300" w:line="240" w:lineRule="auto"/>
        <w:jc w:val="both"/>
        <w:rPr>
          <w:rFonts w:ascii="Arial" w:eastAsia="Arial" w:hAnsi="Arial" w:cs="Arial"/>
          <w:sz w:val="24"/>
          <w:szCs w:val="24"/>
        </w:rPr>
      </w:pPr>
      <w:r>
        <w:rPr>
          <w:rFonts w:ascii="Arial" w:eastAsia="Arial" w:hAnsi="Arial" w:cs="Arial"/>
          <w:sz w:val="24"/>
          <w:szCs w:val="24"/>
        </w:rPr>
        <w:t>Con independencia de las obligaciones que por ley deben cumplir los municipios de Tekax y Tinum para contratar y administrar su deuda pública, deberán observar en todo momento la legislación y normativa aplicable r</w:t>
      </w:r>
      <w:r>
        <w:rPr>
          <w:rFonts w:ascii="Arial" w:eastAsia="Arial" w:hAnsi="Arial" w:cs="Arial"/>
          <w:sz w:val="24"/>
          <w:szCs w:val="24"/>
        </w:rPr>
        <w:t>elativa a la planeación, programación, presupuestación, seguimiento, vigilancia, uso y destino de los recursos provenientes del Fondo de Aportaciones para la Infraestructura Social Municipal y de las Demarcaciones Territoriales del Distrito Federal.</w:t>
      </w:r>
    </w:p>
    <w:p w:rsidR="00E011D9" w:rsidRDefault="008326B3">
      <w:pPr>
        <w:spacing w:before="300" w:after="300" w:line="240" w:lineRule="auto"/>
        <w:jc w:val="center"/>
        <w:rPr>
          <w:rFonts w:ascii="Arial" w:eastAsia="Arial" w:hAnsi="Arial" w:cs="Arial"/>
          <w:b/>
          <w:sz w:val="24"/>
          <w:szCs w:val="24"/>
        </w:rPr>
      </w:pPr>
      <w:r>
        <w:rPr>
          <w:rFonts w:ascii="Arial" w:eastAsia="Arial" w:hAnsi="Arial" w:cs="Arial"/>
          <w:b/>
          <w:sz w:val="24"/>
          <w:szCs w:val="24"/>
        </w:rPr>
        <w:t>Artícu</w:t>
      </w:r>
      <w:r>
        <w:rPr>
          <w:rFonts w:ascii="Arial" w:eastAsia="Arial" w:hAnsi="Arial" w:cs="Arial"/>
          <w:b/>
          <w:sz w:val="24"/>
          <w:szCs w:val="24"/>
        </w:rPr>
        <w:t>los transitorios</w:t>
      </w:r>
    </w:p>
    <w:p w:rsidR="00E011D9" w:rsidRDefault="008326B3">
      <w:pPr>
        <w:spacing w:before="300" w:after="300" w:line="240" w:lineRule="auto"/>
        <w:jc w:val="both"/>
        <w:rPr>
          <w:rFonts w:ascii="Arial" w:eastAsia="Arial" w:hAnsi="Arial" w:cs="Arial"/>
          <w:b/>
          <w:sz w:val="24"/>
          <w:szCs w:val="24"/>
        </w:rPr>
      </w:pPr>
      <w:r>
        <w:rPr>
          <w:rFonts w:ascii="Arial" w:eastAsia="Arial" w:hAnsi="Arial" w:cs="Arial"/>
          <w:b/>
          <w:sz w:val="24"/>
          <w:szCs w:val="24"/>
        </w:rPr>
        <w:t xml:space="preserve">Primero. Entrada en vigor </w:t>
      </w:r>
    </w:p>
    <w:p w:rsidR="00E011D9" w:rsidRDefault="008326B3">
      <w:pPr>
        <w:spacing w:before="300" w:after="300" w:line="240" w:lineRule="auto"/>
        <w:jc w:val="both"/>
        <w:rPr>
          <w:rFonts w:ascii="Arial" w:eastAsia="Arial" w:hAnsi="Arial" w:cs="Arial"/>
          <w:sz w:val="24"/>
          <w:szCs w:val="24"/>
        </w:rPr>
      </w:pPr>
      <w:r>
        <w:rPr>
          <w:rFonts w:ascii="Arial" w:eastAsia="Arial" w:hAnsi="Arial" w:cs="Arial"/>
          <w:sz w:val="24"/>
          <w:szCs w:val="24"/>
        </w:rPr>
        <w:t>Este decreto entrará en vigor el día siguiente al de su publicación en el Diario Oficial del Gobierno del Estado de Yucatán.</w:t>
      </w:r>
    </w:p>
    <w:p w:rsidR="00E011D9" w:rsidRDefault="008326B3">
      <w:pPr>
        <w:pBdr>
          <w:top w:val="nil"/>
          <w:left w:val="nil"/>
          <w:bottom w:val="nil"/>
          <w:right w:val="nil"/>
          <w:between w:val="nil"/>
        </w:pBdr>
        <w:spacing w:before="300" w:after="300" w:line="240" w:lineRule="auto"/>
        <w:rPr>
          <w:rFonts w:ascii="Arial" w:eastAsia="Arial" w:hAnsi="Arial" w:cs="Arial"/>
          <w:b/>
          <w:color w:val="000000"/>
          <w:sz w:val="24"/>
          <w:szCs w:val="24"/>
        </w:rPr>
      </w:pPr>
      <w:r>
        <w:rPr>
          <w:rFonts w:ascii="Arial" w:eastAsia="Arial" w:hAnsi="Arial" w:cs="Arial"/>
          <w:b/>
          <w:color w:val="000000"/>
          <w:sz w:val="24"/>
          <w:szCs w:val="24"/>
        </w:rPr>
        <w:t xml:space="preserve">Segundo. Vigencia </w:t>
      </w:r>
    </w:p>
    <w:p w:rsidR="00E011D9" w:rsidRDefault="008326B3">
      <w:pPr>
        <w:pBdr>
          <w:top w:val="nil"/>
          <w:left w:val="nil"/>
          <w:bottom w:val="nil"/>
          <w:right w:val="nil"/>
          <w:between w:val="nil"/>
        </w:pBdr>
        <w:spacing w:before="300" w:after="3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autorización prevista en este decreto estará vigente hasta el 31 de diciembre de 2023. </w:t>
      </w:r>
    </w:p>
    <w:p w:rsidR="00E011D9" w:rsidRDefault="008326B3">
      <w:pPr>
        <w:pBdr>
          <w:top w:val="nil"/>
          <w:left w:val="nil"/>
          <w:bottom w:val="nil"/>
          <w:right w:val="nil"/>
          <w:between w:val="nil"/>
        </w:pBdr>
        <w:spacing w:before="300" w:after="300" w:line="240" w:lineRule="auto"/>
        <w:jc w:val="center"/>
        <w:rPr>
          <w:rFonts w:ascii="Arial" w:eastAsia="Arial" w:hAnsi="Arial" w:cs="Arial"/>
          <w:color w:val="000000"/>
          <w:sz w:val="24"/>
          <w:szCs w:val="24"/>
        </w:rPr>
      </w:pPr>
      <w:r>
        <w:rPr>
          <w:rFonts w:ascii="Arial" w:eastAsia="Arial" w:hAnsi="Arial" w:cs="Arial"/>
          <w:b/>
          <w:color w:val="000000"/>
          <w:sz w:val="24"/>
          <w:szCs w:val="24"/>
        </w:rPr>
        <w:t>Atentamente</w:t>
      </w:r>
    </w:p>
    <w:p w:rsidR="00E011D9" w:rsidRDefault="008326B3">
      <w:pPr>
        <w:spacing w:before="300" w:after="300" w:line="240" w:lineRule="auto"/>
        <w:jc w:val="center"/>
        <w:rPr>
          <w:rFonts w:ascii="Arial" w:eastAsia="Arial" w:hAnsi="Arial" w:cs="Arial"/>
          <w:b/>
          <w:sz w:val="24"/>
          <w:szCs w:val="24"/>
        </w:rPr>
      </w:pPr>
      <w:r>
        <w:rPr>
          <w:rFonts w:ascii="Arial" w:eastAsia="Arial" w:hAnsi="Arial" w:cs="Arial"/>
          <w:b/>
          <w:sz w:val="24"/>
          <w:szCs w:val="24"/>
        </w:rPr>
        <w:pict>
          <v:shapetype id="_x0000_t202" coordsize="21600,21600" o:spt="202" path="m,l,21600r21600,l21600,xe">
            <v:stroke joinstyle="miter"/>
            <v:path gradientshapeok="t" o:connecttype="rect"/>
          </v:shapetype>
          <v:shape id="Cuadro de texto 1" o:spid="_x0000_s1026" type="#_x0000_t202" style="position:absolute;left:0;text-align:left;margin-left:114.9pt;margin-top:22.8pt;width:332.65pt;height:110.55pt;z-index:251658240;visibility:visible;mso-position-horizontal:absolute;mso-position-horizontal-relative:margin;mso-position-vertical:absolute;mso-position-vertical-relative:page;mso-width-relative:margin;mso-height-relative:margin" filled="f" stroked="f" strokeweight=".5pt">
            <v:textbox>
              <w:txbxContent>
                <w:p w:rsidR="002A0388" w:rsidRPr="00930047" w:rsidRDefault="008326B3" w:rsidP="00511B66">
                  <w:pPr>
                    <w:spacing w:before="100" w:beforeAutospacing="1" w:after="100" w:afterAutospacing="1" w:line="240" w:lineRule="auto"/>
                    <w:jc w:val="both"/>
                    <w:rPr>
                      <w:rFonts w:ascii="Arial" w:hAnsi="Arial" w:cs="Arial"/>
                      <w:sz w:val="18"/>
                      <w:szCs w:val="18"/>
                    </w:rPr>
                  </w:pPr>
                  <w:r w:rsidRPr="00930047">
                    <w:rPr>
                      <w:rFonts w:ascii="Arial" w:hAnsi="Arial" w:cs="Arial"/>
                      <w:sz w:val="18"/>
                      <w:szCs w:val="18"/>
                      <w:lang w:val="es-ES"/>
                    </w:rPr>
                    <w:t xml:space="preserve">Esta hoja de firmas forma parte de la </w:t>
                  </w:r>
                  <w:r w:rsidRPr="002A0388">
                    <w:rPr>
                      <w:rFonts w:ascii="Arial" w:hAnsi="Arial" w:cs="Arial"/>
                      <w:sz w:val="18"/>
                      <w:szCs w:val="18"/>
                      <w:lang w:val="es-ES"/>
                    </w:rPr>
                    <w:t>Iniciativa de Decreto por el que se autorizan montos máximos de endeudamiento a los cuales podrán acceder los municipios de Tekax y Tinum del Estado de Yucatán, para contratar uno o varios financiamientos que se destinarán a inversiones públicas productiva</w:t>
                  </w:r>
                  <w:r w:rsidRPr="002A0388">
                    <w:rPr>
                      <w:rFonts w:ascii="Arial" w:hAnsi="Arial" w:cs="Arial"/>
                      <w:sz w:val="18"/>
                      <w:szCs w:val="18"/>
                      <w:lang w:val="es-ES"/>
                    </w:rPr>
                    <w:t>s; asimismo, se autoriza la afectación como fuente de pago de un porcentaje del derecho a recibir y de los ingresos que individualmente les correspondan del Fondo de Aportaciones para la Infraestructura Social Municipal y de las Demarcaciones Territoriales</w:t>
                  </w:r>
                  <w:r w:rsidRPr="002A0388">
                    <w:rPr>
                      <w:rFonts w:ascii="Arial" w:hAnsi="Arial" w:cs="Arial"/>
                      <w:sz w:val="18"/>
                      <w:szCs w:val="18"/>
                      <w:lang w:val="es-ES"/>
                    </w:rPr>
                    <w:t xml:space="preserve"> del Distrito Federal, y la celebración de los mecanismos de pago de los financiamientos que contraten</w:t>
                  </w:r>
                  <w:r>
                    <w:rPr>
                      <w:rFonts w:ascii="Arial" w:hAnsi="Arial" w:cs="Arial"/>
                      <w:sz w:val="18"/>
                      <w:szCs w:val="18"/>
                      <w:lang w:val="es-ES"/>
                    </w:rPr>
                    <w:t>.</w:t>
                  </w:r>
                </w:p>
                <w:p w:rsidR="002A0388" w:rsidRPr="00C2674F" w:rsidRDefault="008326B3" w:rsidP="002A0388"/>
              </w:txbxContent>
            </v:textbox>
            <w10:wrap anchorx="margin" anchory="page"/>
          </v:shape>
        </w:pict>
      </w:r>
      <w:r>
        <w:rPr>
          <w:rFonts w:ascii="Arial" w:eastAsia="Arial" w:hAnsi="Arial" w:cs="Arial"/>
          <w:b/>
          <w:sz w:val="24"/>
          <w:szCs w:val="24"/>
        </w:rPr>
        <w:br/>
        <w:t>Lic. Mauricio Vila Dosal</w:t>
      </w:r>
      <w:r>
        <w:rPr>
          <w:rFonts w:ascii="Arial" w:eastAsia="Arial" w:hAnsi="Arial" w:cs="Arial"/>
          <w:b/>
          <w:sz w:val="24"/>
          <w:szCs w:val="24"/>
        </w:rPr>
        <w:br/>
        <w:t>Gobernador del Estado de Yucatán</w:t>
      </w:r>
    </w:p>
    <w:p w:rsidR="00E011D9" w:rsidRDefault="008326B3">
      <w:pPr>
        <w:spacing w:before="300" w:after="300" w:line="240" w:lineRule="auto"/>
        <w:rPr>
          <w:rFonts w:ascii="Arial" w:eastAsia="Arial" w:hAnsi="Arial" w:cs="Arial"/>
          <w:b/>
          <w:sz w:val="24"/>
          <w:szCs w:val="24"/>
        </w:rPr>
      </w:pPr>
      <w:r>
        <w:rPr>
          <w:rFonts w:ascii="Arial" w:eastAsia="Arial" w:hAnsi="Arial" w:cs="Arial"/>
          <w:b/>
          <w:sz w:val="24"/>
          <w:szCs w:val="24"/>
        </w:rPr>
        <w:lastRenderedPageBreak/>
        <w:br/>
        <w:t>Abog. María Dolores Fritz Sierra</w:t>
      </w:r>
      <w:r>
        <w:rPr>
          <w:rFonts w:ascii="Arial" w:eastAsia="Arial" w:hAnsi="Arial" w:cs="Arial"/>
          <w:b/>
          <w:sz w:val="24"/>
          <w:szCs w:val="24"/>
        </w:rPr>
        <w:br/>
        <w:t>Secretaria general de Gobierno</w:t>
      </w:r>
    </w:p>
    <w:sectPr w:rsidR="00E011D9">
      <w:footerReference w:type="even" r:id="rId7"/>
      <w:footerReference w:type="default" r:id="rId8"/>
      <w:pgSz w:w="12240" w:h="15840"/>
      <w:pgMar w:top="294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6B3" w:rsidRDefault="008326B3">
      <w:pPr>
        <w:spacing w:after="0" w:line="240" w:lineRule="auto"/>
      </w:pPr>
      <w:r>
        <w:separator/>
      </w:r>
    </w:p>
  </w:endnote>
  <w:endnote w:type="continuationSeparator" w:id="0">
    <w:p w:rsidR="008326B3" w:rsidRDefault="0083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D9" w:rsidRDefault="008326B3">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E011D9" w:rsidRDefault="00E011D9">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D9" w:rsidRDefault="008326B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4C6327">
      <w:rPr>
        <w:rFonts w:ascii="Arial" w:eastAsia="Arial" w:hAnsi="Arial" w:cs="Arial"/>
        <w:color w:val="000000"/>
        <w:sz w:val="20"/>
        <w:szCs w:val="20"/>
      </w:rPr>
      <w:fldChar w:fldCharType="separate"/>
    </w:r>
    <w:r w:rsidR="001F3823">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E011D9" w:rsidRDefault="00E011D9">
    <w:pPr>
      <w:pBdr>
        <w:top w:val="nil"/>
        <w:left w:val="nil"/>
        <w:bottom w:val="nil"/>
        <w:right w:val="nil"/>
        <w:between w:val="nil"/>
      </w:pBdr>
      <w:tabs>
        <w:tab w:val="center" w:pos="4419"/>
        <w:tab w:val="right" w:pos="8838"/>
      </w:tabs>
      <w:spacing w:after="0" w:line="240" w:lineRule="auto"/>
      <w:ind w:right="360"/>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6B3" w:rsidRDefault="008326B3">
      <w:pPr>
        <w:spacing w:after="0" w:line="240" w:lineRule="auto"/>
      </w:pPr>
      <w:r>
        <w:separator/>
      </w:r>
    </w:p>
  </w:footnote>
  <w:footnote w:type="continuationSeparator" w:id="0">
    <w:p w:rsidR="008326B3" w:rsidRDefault="008326B3">
      <w:pPr>
        <w:spacing w:after="0" w:line="240" w:lineRule="auto"/>
      </w:pPr>
      <w:r>
        <w:continuationSeparator/>
      </w:r>
    </w:p>
  </w:footnote>
  <w:footnote w:id="1">
    <w:p w:rsidR="00E011D9" w:rsidRDefault="008326B3">
      <w:pPr>
        <w:pBdr>
          <w:top w:val="nil"/>
          <w:left w:val="nil"/>
          <w:bottom w:val="nil"/>
          <w:right w:val="nil"/>
          <w:between w:val="nil"/>
        </w:pBdr>
        <w:spacing w:after="0" w:line="240" w:lineRule="auto"/>
        <w:jc w:val="both"/>
        <w:rPr>
          <w:rFonts w:ascii="Arial" w:eastAsia="Arial" w:hAnsi="Arial" w:cs="Arial"/>
          <w:color w:val="000000"/>
          <w:sz w:val="24"/>
          <w:szCs w:val="24"/>
        </w:rPr>
      </w:pPr>
      <w:r>
        <w:rPr>
          <w:vertAlign w:val="superscript"/>
        </w:rPr>
        <w:footnoteRef/>
      </w:r>
      <w:r>
        <w:rPr>
          <w:rFonts w:ascii="Arial" w:eastAsia="Arial" w:hAnsi="Arial" w:cs="Arial"/>
          <w:color w:val="000000"/>
          <w:sz w:val="24"/>
          <w:szCs w:val="24"/>
        </w:rPr>
        <w:t xml:space="preserve"> </w:t>
      </w:r>
      <w:r>
        <w:rPr>
          <w:rFonts w:ascii="Arial" w:eastAsia="Arial" w:hAnsi="Arial" w:cs="Arial"/>
          <w:color w:val="000000"/>
          <w:sz w:val="20"/>
          <w:szCs w:val="20"/>
        </w:rPr>
        <w:t xml:space="preserve">Consejo Nacional de Evaluación de la Política de Desarrollo Social. (2020). Medición de la pobreza, Estados Unidos Mexicanos, 2010-2020, indicadores de pobreza por municipio. Recuperado de: </w:t>
      </w:r>
    </w:p>
    <w:p w:rsidR="00E011D9" w:rsidRDefault="008326B3">
      <w:p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https://www.coneval.org.mx/Medicion/Documents/Pobreza_municipal/2020/Concentrado_indicadores_de_pobreza_2020.zip</w:t>
      </w:r>
    </w:p>
  </w:footnote>
  <w:footnote w:id="2">
    <w:p w:rsidR="00E011D9" w:rsidRDefault="008326B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Este acuerdo ha sido modificado a través del Acuerdo 51/2022 (23/09/2022).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E0EC2"/>
    <w:multiLevelType w:val="multilevel"/>
    <w:tmpl w:val="DC7632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D9"/>
    <w:rsid w:val="001F3823"/>
    <w:rsid w:val="004C6327"/>
    <w:rsid w:val="008326B3"/>
    <w:rsid w:val="00E011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674E2FA-5827-445D-84D4-270FF0DD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C63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6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6930</Words>
  <Characters>38118</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Mildred Manzanilla</dc:creator>
  <cp:lastModifiedBy>Mildred Manzanilla</cp:lastModifiedBy>
  <cp:revision>2</cp:revision>
  <cp:lastPrinted>2022-12-01T16:39:00Z</cp:lastPrinted>
  <dcterms:created xsi:type="dcterms:W3CDTF">2022-12-01T17:02:00Z</dcterms:created>
  <dcterms:modified xsi:type="dcterms:W3CDTF">2022-12-01T17:02:00Z</dcterms:modified>
</cp:coreProperties>
</file>